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9883" w14:textId="77777777" w:rsidR="00605C40" w:rsidRPr="00605C40" w:rsidRDefault="00605C40" w:rsidP="00605C40">
      <w:pPr>
        <w:jc w:val="center"/>
        <w:rPr>
          <w:b/>
          <w:bCs/>
          <w:sz w:val="28"/>
          <w:szCs w:val="28"/>
        </w:rPr>
      </w:pPr>
      <w:r w:rsidRPr="00605C40">
        <w:rPr>
          <w:b/>
          <w:bCs/>
          <w:sz w:val="28"/>
          <w:szCs w:val="28"/>
        </w:rPr>
        <w:t>Jelenések könyve</w:t>
      </w:r>
    </w:p>
    <w:p w14:paraId="3634CC1F" w14:textId="5DB4EA9A" w:rsidR="00605C40" w:rsidRPr="00605C40" w:rsidRDefault="00605C40" w:rsidP="00A26A35">
      <w:pPr>
        <w:jc w:val="both"/>
      </w:pPr>
      <w:r w:rsidRPr="00605C40">
        <w:t xml:space="preserve">A Jelenések könyvének műfaja az </w:t>
      </w:r>
      <w:proofErr w:type="spellStart"/>
      <w:r w:rsidRPr="00605C40">
        <w:t>apokaliptika</w:t>
      </w:r>
      <w:proofErr w:type="spellEnd"/>
      <w:r w:rsidRPr="00605C40">
        <w:t xml:space="preserve">. Ez a műfaj a prófétai igehirdetésből ered, de elsősorban a jövő felől tekint a jelenre, és gyakran rejtjeltöredékeket, látomásokat és szimbolikus képeket használ, melyeket csak a beavatottak érthetnek. Az </w:t>
      </w:r>
      <w:proofErr w:type="spellStart"/>
      <w:r w:rsidRPr="00605C40">
        <w:t>apokaliptika</w:t>
      </w:r>
      <w:proofErr w:type="spellEnd"/>
      <w:r w:rsidRPr="00605C40">
        <w:t xml:space="preserve"> általában olyan időkben keletkezett, amikor a közösség súlyos üldözések és válságok alatt állt, ezért üzenete vigasztalást és reményt kíván nyújtani a végidőkkel kapcsolatban. A Jelenések könyve is ilyen mű, melynek központi üzenete a feltámadt Jézus Krisztus látomásos üzenete a gyülekezeteknek, különösen a Római Birodalom üldözése idején (Kr. u. 1. század vége)</w:t>
      </w:r>
      <w:r>
        <w:t>.</w:t>
      </w:r>
      <w:r w:rsidRPr="00605C40">
        <w:rPr>
          <w:rFonts w:ascii="Arial" w:hAnsi="Arial" w:cs="Arial"/>
        </w:rPr>
        <w:t>​</w:t>
      </w:r>
    </w:p>
    <w:p w14:paraId="22879A94" w14:textId="452D13AD" w:rsidR="00605C40" w:rsidRDefault="00605C40" w:rsidP="00A26A35">
      <w:pPr>
        <w:jc w:val="both"/>
      </w:pPr>
      <w:r w:rsidRPr="00605C40">
        <w:t xml:space="preserve">A János neve alatt az ókorban több apokaliptikus mű is keletkezett, de a Jelenések könyve az egyetlen, amely széles körben ismert és elfogadott a kánonban. Ez a mű Domitianus uralkodásának idejére, az i. sz. 1. század végére datálható. Az ókori zsidó és keresztény apokalipszisek között e mű a legismertebb és legfontosabb, egyedülálló teológiai és irodalmi tartalmával. </w:t>
      </w:r>
    </w:p>
    <w:p w14:paraId="12577462" w14:textId="77777777" w:rsidR="00F5578C" w:rsidRPr="00CE1210" w:rsidRDefault="00F5578C" w:rsidP="00F5578C">
      <w:pPr>
        <w:jc w:val="center"/>
        <w:rPr>
          <w:b/>
          <w:bCs/>
        </w:rPr>
      </w:pPr>
      <w:r w:rsidRPr="00CE1210">
        <w:rPr>
          <w:b/>
          <w:bCs/>
        </w:rPr>
        <w:t>A János jelenések könyvének szerkezete</w:t>
      </w:r>
    </w:p>
    <w:p w14:paraId="401897DD" w14:textId="54647275" w:rsidR="00F5578C" w:rsidRPr="00CE1210" w:rsidRDefault="00F5578C" w:rsidP="00F5578C">
      <w:r w:rsidRPr="00CE1210">
        <w:t xml:space="preserve"> összetett, spirális jellegű,</w:t>
      </w:r>
      <w:r>
        <w:t xml:space="preserve"> </w:t>
      </w:r>
      <w:r w:rsidRPr="00F5578C">
        <w:rPr>
          <w:b/>
          <w:bCs/>
        </w:rPr>
        <w:t>jellemző rá a hetes szám</w:t>
      </w:r>
      <w:r>
        <w:rPr>
          <w:b/>
          <w:bCs/>
        </w:rPr>
        <w:t>,</w:t>
      </w:r>
      <w:r w:rsidRPr="00CE1210">
        <w:t xml:space="preserve"> amely különböző témákat és látomásokat ismételve tár fel, miközben a Krisztus első és második eljövetele közötti időszakot, az egyház helyzetét és a végső ítéletet mutatja be.</w:t>
      </w:r>
    </w:p>
    <w:p w14:paraId="0A86BEF9" w14:textId="77777777" w:rsidR="00F5578C" w:rsidRPr="00CE1210" w:rsidRDefault="00F5578C" w:rsidP="00F5578C">
      <w:r w:rsidRPr="00CE1210">
        <w:t>A főbb szerkezeti egységek a következők:</w:t>
      </w:r>
    </w:p>
    <w:p w14:paraId="6E590715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t>Bevezetés és köszöntés (1. fejezet)</w:t>
      </w:r>
    </w:p>
    <w:p w14:paraId="6871AC69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rPr>
          <w:b/>
          <w:bCs/>
        </w:rPr>
        <w:t>Hét levél</w:t>
      </w:r>
      <w:r w:rsidRPr="00CE1210">
        <w:t xml:space="preserve"> a hét kis-ázsiai egyházhoz (2–3. fejezet)</w:t>
      </w:r>
    </w:p>
    <w:p w14:paraId="6BF014AE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t>A 24 vén és a négy élő lény látomása (4. fejezet)</w:t>
      </w:r>
    </w:p>
    <w:p w14:paraId="74563D8F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rPr>
          <w:b/>
          <w:bCs/>
        </w:rPr>
        <w:t>A hét pecsét</w:t>
      </w:r>
      <w:r w:rsidRPr="00CE1210">
        <w:t xml:space="preserve"> és a hetedik pecsétnél feltáruló további események (5–8, 11. fejezet)</w:t>
      </w:r>
    </w:p>
    <w:p w14:paraId="2B849BF3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t>A 144 ezer megpecsételt és a nagy tömeg látomása (7. fejezet)</w:t>
      </w:r>
    </w:p>
    <w:p w14:paraId="195F7CA4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rPr>
          <w:b/>
          <w:bCs/>
        </w:rPr>
        <w:t>A hét harsona és a hét csésze í</w:t>
      </w:r>
      <w:r w:rsidRPr="00CE1210">
        <w:t>téletei (8–9, 15–16. fejezet)</w:t>
      </w:r>
    </w:p>
    <w:p w14:paraId="7F3D5E5D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t>A Napba öltözött asszony és az egyház és a sátán harca (10–13. fejezet)</w:t>
      </w:r>
    </w:p>
    <w:p w14:paraId="705A1E3A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t>A három angyal üzenete és a hívás az ítéletre (14. fejezet)</w:t>
      </w:r>
    </w:p>
    <w:p w14:paraId="4C468E6E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t>Babilon bukása, a parázna asszony (17–18. fejezet)</w:t>
      </w:r>
    </w:p>
    <w:p w14:paraId="49D2F970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t>Krisztus győzelme, a két vadállat bukása (19. fejezet)</w:t>
      </w:r>
    </w:p>
    <w:p w14:paraId="3DB8119C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t>Krisztus ezeréves uralma (millennium), a végső ítélet (20. fejezet)</w:t>
      </w:r>
    </w:p>
    <w:p w14:paraId="598851EE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t>Az új ég, az új föld és az új Jeruzsálem (21–22. fejezet)</w:t>
      </w:r>
    </w:p>
    <w:p w14:paraId="5DBC0382" w14:textId="77777777" w:rsidR="00F5578C" w:rsidRPr="00CE1210" w:rsidRDefault="00F5578C" w:rsidP="00F5578C">
      <w:pPr>
        <w:numPr>
          <w:ilvl w:val="0"/>
          <w:numId w:val="2"/>
        </w:numPr>
      </w:pPr>
      <w:r w:rsidRPr="00CE1210">
        <w:t>A könyv bezárása (22. fejezet)</w:t>
      </w:r>
    </w:p>
    <w:p w14:paraId="10DF6939" w14:textId="77777777" w:rsidR="00F5578C" w:rsidRPr="00CE1210" w:rsidRDefault="00F5578C" w:rsidP="00F5578C">
      <w:r w:rsidRPr="00CE1210">
        <w:t>A könyv szimbolikus és ciklikus állapotokat ismétel, nem lineáris kronológiával halad, hanem párhuzamosan több aspektusból is bemutatja az eseményeket. Ez egy spirális történetvezetést eredményez, amely a végidő eseményeit fokozatosan tárja fel a hívők számára.</w:t>
      </w:r>
    </w:p>
    <w:p w14:paraId="65D45EC3" w14:textId="77777777" w:rsidR="00F5578C" w:rsidRPr="00CE1210" w:rsidRDefault="00F5578C" w:rsidP="00F5578C">
      <w:r w:rsidRPr="00CE1210">
        <w:t>Ez a szerkezeti felépítés segíti a Jelenések könyvének megértését és értelmezését, különösen a korabeli üldöztetések és a jövőbe vetett remény kontextusában.</w:t>
      </w:r>
    </w:p>
    <w:p w14:paraId="60A76EED" w14:textId="77777777" w:rsidR="00F5578C" w:rsidRDefault="00F5578C" w:rsidP="00A26A35">
      <w:pPr>
        <w:jc w:val="both"/>
      </w:pPr>
    </w:p>
    <w:p w14:paraId="330211D2" w14:textId="679D9227" w:rsidR="00A26A35" w:rsidRDefault="00A26A35" w:rsidP="00A26A35">
      <w:pPr>
        <w:jc w:val="center"/>
        <w:rPr>
          <w:b/>
          <w:bCs/>
        </w:rPr>
      </w:pPr>
      <w:r w:rsidRPr="00A26A35">
        <w:rPr>
          <w:b/>
          <w:bCs/>
        </w:rPr>
        <w:t>A Jelenések könyve keletkezésének ideje és az írás célja</w:t>
      </w:r>
    </w:p>
    <w:p w14:paraId="79A06366" w14:textId="7468D317" w:rsidR="00A26A35" w:rsidRPr="00A26A35" w:rsidRDefault="00A26A35" w:rsidP="00A26A35">
      <w:r w:rsidRPr="00A26A35">
        <w:t xml:space="preserve">A János jelenések könyve valószínűleg Kr. u. 90 és 95 között íródott </w:t>
      </w:r>
      <w:proofErr w:type="spellStart"/>
      <w:r w:rsidRPr="00A26A35">
        <w:t>P</w:t>
      </w:r>
      <w:r w:rsidR="00F5578C">
        <w:t>a</w:t>
      </w:r>
      <w:r w:rsidRPr="00A26A35">
        <w:t>tmosz</w:t>
      </w:r>
      <w:proofErr w:type="spellEnd"/>
      <w:r w:rsidRPr="00A26A35">
        <w:t xml:space="preserve"> szigetén, a Domitianus császár uralma alatt. A szerző, aki a könyvben maga is Jánosnak nevezi magát, nem apostolként, hanem Jézus szolgájaként és prófétaként mutatkozik be. Száműzetésben élt, valószínűleg azért, mert terjesztette a Jézusról szóló örömhírt.</w:t>
      </w:r>
    </w:p>
    <w:p w14:paraId="1912352C" w14:textId="77777777" w:rsidR="00A26A35" w:rsidRPr="00A26A35" w:rsidRDefault="00A26A35" w:rsidP="00A26A35">
      <w:pPr>
        <w:rPr>
          <w:b/>
          <w:bCs/>
        </w:rPr>
      </w:pPr>
      <w:r w:rsidRPr="00A26A35">
        <w:t>A könyv célja, hogy vigasztalást és reményt nyújtson a korabeli, üldözött keresztény közösségeknek, bemutatva Isten végső győzelmét a gonosz felett, a végítélet és az új ég, új föld eljövetelét. Szimbolikus és látomásos nyelvezetén keresztül a könyv olyan üzenetet közvetít, amely a hit megőrzésére, kitartásra és Isten igazságosságába vetett bizalomra buzdít.</w:t>
      </w:r>
    </w:p>
    <w:p w14:paraId="3025C80D" w14:textId="0DE2B658" w:rsidR="00A26A35" w:rsidRPr="00A26A35" w:rsidRDefault="00A26A35" w:rsidP="00A26A35">
      <w:pPr>
        <w:rPr>
          <w:b/>
          <w:bCs/>
        </w:rPr>
      </w:pPr>
      <w:r w:rsidRPr="00A26A35">
        <w:rPr>
          <w:b/>
          <w:bCs/>
        </w:rPr>
        <w:t>Keresztény üldözés</w:t>
      </w:r>
    </w:p>
    <w:p w14:paraId="143DC4A8" w14:textId="7B494F52" w:rsidR="00A26A35" w:rsidRPr="00A26A35" w:rsidRDefault="00A26A35" w:rsidP="00B35721">
      <w:pPr>
        <w:ind w:left="708"/>
      </w:pPr>
      <w:r w:rsidRPr="00A26A35">
        <w:t>Domitianus római császár uralkodása idején (Kr. u. 81–96) zajlott egy keresztényüldözés, amely főként az utolsó évekre, Kr. u. 90 körül és az azt követő időszakra tehető. Az üldözés elsősorban a császárkultusz megtagadóit érintette, mivel Domitianus isteni tiszteletet követelt</w:t>
      </w:r>
      <w:r>
        <w:t xml:space="preserve"> magának.</w:t>
      </w:r>
      <w:r w:rsidRPr="00A26A35">
        <w:t xml:space="preserve"> Az üldözés célja tehát a császárkultusz egységének fenntartása volt, amit a keresztények megtagadása veszélyeztetett.</w:t>
      </w:r>
    </w:p>
    <w:p w14:paraId="20AE2DFC" w14:textId="51114AFE" w:rsidR="00A26A35" w:rsidRPr="00A26A35" w:rsidRDefault="00A26A35" w:rsidP="00B35721">
      <w:pPr>
        <w:ind w:left="708"/>
      </w:pPr>
      <w:r w:rsidRPr="00A26A35">
        <w:t>A Domitianus-féle üldözésről nem maradt fenn hivatalos,</w:t>
      </w:r>
      <w:r>
        <w:t xml:space="preserve"> </w:t>
      </w:r>
      <w:r w:rsidRPr="00A26A35">
        <w:t>rendelkezés vagy rendelet, melyet ma egy konkrét dokumentumban lehetne látni. Az üldözés főként bírói eljárásokat, száműzetéseket és kivégzéseket foglalt magában.</w:t>
      </w:r>
    </w:p>
    <w:p w14:paraId="5526E4ED" w14:textId="77777777" w:rsidR="00A26A35" w:rsidRDefault="00A26A35" w:rsidP="00B35721">
      <w:pPr>
        <w:ind w:left="708"/>
      </w:pPr>
      <w:r w:rsidRPr="00A26A35">
        <w:t xml:space="preserve">Az üldözés leginkább társadalmi és politikai elitet érintett, különösen a császári családhoz közel állókat, például </w:t>
      </w:r>
      <w:proofErr w:type="spellStart"/>
      <w:r w:rsidRPr="00A26A35">
        <w:t>Flavius</w:t>
      </w:r>
      <w:proofErr w:type="spellEnd"/>
      <w:r w:rsidRPr="00A26A35">
        <w:t xml:space="preserve"> </w:t>
      </w:r>
      <w:proofErr w:type="spellStart"/>
      <w:r w:rsidRPr="00A26A35">
        <w:t>Clemens</w:t>
      </w:r>
      <w:proofErr w:type="spellEnd"/>
      <w:r w:rsidRPr="00A26A35">
        <w:t xml:space="preserve"> unokatestvért, akit istentelenség vádjával kivégeztek, valamint családtagjait és más egyháztagokat száműztek vagy megöltek. Az üldözés pontos számú mártír áldozatáról nincs pontos adat, de több jelentős vértanú neve maradt fenn.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2473"/>
        <w:gridCol w:w="4628"/>
      </w:tblGrid>
      <w:tr w:rsidR="00A26A35" w:rsidRPr="00A26A35" w14:paraId="47A327CE" w14:textId="77777777" w:rsidTr="00A26A3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5C7DC4" w14:textId="77777777" w:rsidR="00A26A35" w:rsidRPr="00A26A35" w:rsidRDefault="00A26A35" w:rsidP="00A26A35">
            <w:pPr>
              <w:rPr>
                <w:b/>
                <w:bCs/>
              </w:rPr>
            </w:pPr>
            <w:r w:rsidRPr="00A26A35">
              <w:rPr>
                <w:b/>
                <w:bCs/>
              </w:rPr>
              <w:t>Név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17AC8" w14:textId="77777777" w:rsidR="00A26A35" w:rsidRPr="00A26A35" w:rsidRDefault="00A26A35" w:rsidP="00A26A35">
            <w:pPr>
              <w:rPr>
                <w:b/>
                <w:bCs/>
              </w:rPr>
            </w:pPr>
            <w:r w:rsidRPr="00A26A35">
              <w:rPr>
                <w:b/>
                <w:bCs/>
              </w:rPr>
              <w:t>Státusz / Szerep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0156E" w14:textId="77777777" w:rsidR="00A26A35" w:rsidRPr="00A26A35" w:rsidRDefault="00A26A35" w:rsidP="00A26A35">
            <w:pPr>
              <w:rPr>
                <w:b/>
                <w:bCs/>
              </w:rPr>
            </w:pPr>
            <w:r w:rsidRPr="00A26A35">
              <w:rPr>
                <w:b/>
                <w:bCs/>
              </w:rPr>
              <w:t>Megjegyzés</w:t>
            </w:r>
          </w:p>
        </w:tc>
      </w:tr>
      <w:tr w:rsidR="00A26A35" w:rsidRPr="00A26A35" w14:paraId="17FECA97" w14:textId="77777777" w:rsidTr="00A26A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AD3A4" w14:textId="77777777" w:rsidR="00A26A35" w:rsidRPr="00A26A35" w:rsidRDefault="00A26A35" w:rsidP="00A26A35">
            <w:r w:rsidRPr="00A26A35">
              <w:t>Szent János apostol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D61132" w14:textId="77777777" w:rsidR="00A26A35" w:rsidRPr="00A26A35" w:rsidRDefault="00A26A35" w:rsidP="00A26A35">
            <w:r w:rsidRPr="00A26A35">
              <w:t>Száműzött, vallási vezető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E841A" w14:textId="77777777" w:rsidR="00A26A35" w:rsidRPr="00A26A35" w:rsidRDefault="00A26A35" w:rsidP="00A26A35">
            <w:proofErr w:type="spellStart"/>
            <w:r w:rsidRPr="00A26A35">
              <w:t>Pátmoszra</w:t>
            </w:r>
            <w:proofErr w:type="spellEnd"/>
            <w:r w:rsidRPr="00A26A35">
              <w:t xml:space="preserve"> száműzték Domitianus alatt</w:t>
            </w:r>
          </w:p>
        </w:tc>
      </w:tr>
      <w:tr w:rsidR="00A26A35" w:rsidRPr="00A26A35" w14:paraId="2B055076" w14:textId="77777777" w:rsidTr="00A26A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AEC11F" w14:textId="77777777" w:rsidR="00A26A35" w:rsidRPr="00A26A35" w:rsidRDefault="00A26A35" w:rsidP="00A26A35">
            <w:proofErr w:type="spellStart"/>
            <w:r w:rsidRPr="00A26A35">
              <w:t>Flavius</w:t>
            </w:r>
            <w:proofErr w:type="spellEnd"/>
            <w:r w:rsidRPr="00A26A35">
              <w:t xml:space="preserve"> </w:t>
            </w:r>
            <w:proofErr w:type="spellStart"/>
            <w:r w:rsidRPr="00A26A35">
              <w:t>Clemens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399ED" w14:textId="77777777" w:rsidR="00A26A35" w:rsidRPr="00A26A35" w:rsidRDefault="00A26A35" w:rsidP="00A26A35">
            <w:r w:rsidRPr="00A26A35">
              <w:t>Császári családtag, kivégzett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506DE" w14:textId="77777777" w:rsidR="00A26A35" w:rsidRPr="00A26A35" w:rsidRDefault="00A26A35" w:rsidP="00A26A35">
            <w:r w:rsidRPr="00A26A35">
              <w:t>A császár unokatestvére, istentelenség vádjával kivégezték</w:t>
            </w:r>
          </w:p>
        </w:tc>
      </w:tr>
      <w:tr w:rsidR="00A26A35" w:rsidRPr="00A26A35" w14:paraId="46DAA24E" w14:textId="77777777" w:rsidTr="00A26A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C823B" w14:textId="77777777" w:rsidR="00A26A35" w:rsidRPr="00A26A35" w:rsidRDefault="00A26A35" w:rsidP="00A26A35">
            <w:r w:rsidRPr="00A26A35">
              <w:t>Szent Lőrinc diakónus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CD039" w14:textId="77777777" w:rsidR="00A26A35" w:rsidRPr="00A26A35" w:rsidRDefault="00A26A35" w:rsidP="00A26A35">
            <w:r w:rsidRPr="00A26A35">
              <w:t>Vértanú, diakónus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CFCC9" w14:textId="77777777" w:rsidR="00A26A35" w:rsidRPr="00A26A35" w:rsidRDefault="00A26A35" w:rsidP="00A26A35">
            <w:r w:rsidRPr="00A26A35">
              <w:t>Valószínűleg Domitianus korabeli vértanú, kivégzés áldozata</w:t>
            </w:r>
          </w:p>
        </w:tc>
      </w:tr>
      <w:tr w:rsidR="00A26A35" w:rsidRPr="00A26A35" w14:paraId="3A99EA53" w14:textId="77777777" w:rsidTr="00A26A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16AC5" w14:textId="77777777" w:rsidR="00A26A35" w:rsidRPr="00A26A35" w:rsidRDefault="00A26A35" w:rsidP="00A26A35">
            <w:r w:rsidRPr="00A26A35">
              <w:t>Szent Szixtusz pápa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9D8A5" w14:textId="77777777" w:rsidR="00A26A35" w:rsidRPr="00A26A35" w:rsidRDefault="00A26A35" w:rsidP="00A26A35">
            <w:r w:rsidRPr="00A26A35">
              <w:t>Vértanú, püspök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8D395" w14:textId="5787B521" w:rsidR="00A26A35" w:rsidRPr="00A26A35" w:rsidRDefault="00A26A35" w:rsidP="00A26A35">
            <w:r w:rsidRPr="00A26A35">
              <w:t>Büntetés</w:t>
            </w:r>
            <w:r w:rsidR="006D409D">
              <w:t>k</w:t>
            </w:r>
            <w:r w:rsidRPr="00A26A35">
              <w:t>ént Domitianus idején kivégezték</w:t>
            </w:r>
          </w:p>
        </w:tc>
      </w:tr>
    </w:tbl>
    <w:p w14:paraId="2D1973D8" w14:textId="77777777" w:rsidR="00A26A35" w:rsidRDefault="00A26A35" w:rsidP="00A26A35"/>
    <w:p w14:paraId="3D40C2A1" w14:textId="11805F66" w:rsidR="00B35721" w:rsidRPr="00F5578C" w:rsidRDefault="00B35721" w:rsidP="00A26A35">
      <w:pPr>
        <w:rPr>
          <w:b/>
          <w:bCs/>
        </w:rPr>
      </w:pPr>
      <w:r w:rsidRPr="00F5578C">
        <w:rPr>
          <w:b/>
          <w:bCs/>
        </w:rPr>
        <w:t>Keresztény üldözések az ókorban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1841"/>
        <w:gridCol w:w="6017"/>
      </w:tblGrid>
      <w:tr w:rsidR="00B35721" w:rsidRPr="00B35721" w14:paraId="743FA42A" w14:textId="77777777" w:rsidTr="00B3572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C496C" w14:textId="77777777" w:rsidR="00B35721" w:rsidRPr="00B35721" w:rsidRDefault="00B35721" w:rsidP="00B35721">
            <w:pPr>
              <w:rPr>
                <w:b/>
                <w:bCs/>
              </w:rPr>
            </w:pPr>
            <w:r w:rsidRPr="00B35721">
              <w:rPr>
                <w:b/>
                <w:bCs/>
              </w:rPr>
              <w:lastRenderedPageBreak/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9B0C4" w14:textId="77777777" w:rsidR="00B35721" w:rsidRPr="00B35721" w:rsidRDefault="00B35721" w:rsidP="00B35721">
            <w:pPr>
              <w:rPr>
                <w:b/>
                <w:bCs/>
              </w:rPr>
            </w:pPr>
            <w:r w:rsidRPr="00B35721">
              <w:rPr>
                <w:b/>
                <w:bCs/>
              </w:rPr>
              <w:t>Császár / Elrendelő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4F24B3" w14:textId="77777777" w:rsidR="00B35721" w:rsidRPr="00B35721" w:rsidRDefault="00B35721" w:rsidP="00B35721">
            <w:pPr>
              <w:rPr>
                <w:b/>
                <w:bCs/>
              </w:rPr>
            </w:pPr>
            <w:r w:rsidRPr="00B35721">
              <w:rPr>
                <w:b/>
                <w:bCs/>
              </w:rPr>
              <w:t>Jellemzők és érintettek</w:t>
            </w:r>
          </w:p>
        </w:tc>
      </w:tr>
      <w:tr w:rsidR="00B35721" w:rsidRPr="00B35721" w14:paraId="0D5E49A9" w14:textId="77777777" w:rsidTr="00B357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9E7DA" w14:textId="77777777" w:rsidR="00B35721" w:rsidRPr="00B35721" w:rsidRDefault="00B35721" w:rsidP="00B35721">
            <w:r w:rsidRPr="00B35721">
              <w:t>Kr. u. 64-68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907521" w14:textId="77777777" w:rsidR="00B35721" w:rsidRPr="00B35721" w:rsidRDefault="00B35721" w:rsidP="00B35721">
            <w:r w:rsidRPr="00B35721">
              <w:t>Nero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A5225" w14:textId="77777777" w:rsidR="00B35721" w:rsidRPr="00B35721" w:rsidRDefault="00B35721" w:rsidP="00B35721">
            <w:r w:rsidRPr="00B35721">
              <w:t>Az első nagy üldözés Rómában, a keresztényeket Róma felgyújtásával vádolták, vértanúk: Péter, Pál apostolok. Csak Rómára korlátozódott.</w:t>
            </w:r>
          </w:p>
        </w:tc>
      </w:tr>
      <w:tr w:rsidR="00B35721" w:rsidRPr="00B35721" w14:paraId="5969E23C" w14:textId="77777777" w:rsidTr="00B357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3C814D" w14:textId="77777777" w:rsidR="00B35721" w:rsidRPr="00B35721" w:rsidRDefault="00B35721" w:rsidP="00B35721">
            <w:r w:rsidRPr="00B35721">
              <w:t>Kr. u. 81-96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96DEC" w14:textId="169BF172" w:rsidR="00B35721" w:rsidRPr="00B35721" w:rsidRDefault="00B35721" w:rsidP="00B35721">
            <w:proofErr w:type="spellStart"/>
            <w:r w:rsidRPr="00B35721">
              <w:t>Domi</w:t>
            </w:r>
            <w:r w:rsidR="006D409D">
              <w:t>cia</w:t>
            </w:r>
            <w:r w:rsidRPr="00B35721">
              <w:t>nus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3AAF75" w14:textId="5065C6EB" w:rsidR="00B35721" w:rsidRPr="00B35721" w:rsidRDefault="00B35721" w:rsidP="00B35721">
            <w:r w:rsidRPr="00B35721">
              <w:t xml:space="preserve">Üldözés főként a császárkultusz megtagadóira, keresztény elit és vezetőség ellen, például János apostol száműzése </w:t>
            </w:r>
            <w:proofErr w:type="spellStart"/>
            <w:r w:rsidRPr="00B35721">
              <w:t>P</w:t>
            </w:r>
            <w:r>
              <w:t>a</w:t>
            </w:r>
            <w:r w:rsidRPr="00B35721">
              <w:t>tmoszra</w:t>
            </w:r>
            <w:proofErr w:type="spellEnd"/>
            <w:r w:rsidRPr="00B35721">
              <w:t>.</w:t>
            </w:r>
          </w:p>
        </w:tc>
      </w:tr>
      <w:tr w:rsidR="00B35721" w:rsidRPr="00B35721" w14:paraId="3E557C73" w14:textId="77777777" w:rsidTr="00B357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9039E" w14:textId="77777777" w:rsidR="00B35721" w:rsidRPr="00B35721" w:rsidRDefault="00B35721" w:rsidP="00B35721">
            <w:r w:rsidRPr="00B35721">
              <w:t>Kr. u. 249-251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CACDA" w14:textId="77777777" w:rsidR="00B35721" w:rsidRPr="00B35721" w:rsidRDefault="00B35721" w:rsidP="00B35721">
            <w:proofErr w:type="spellStart"/>
            <w:r w:rsidRPr="00B35721">
              <w:t>Decius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FE29C" w14:textId="3D4E3DA3" w:rsidR="00B35721" w:rsidRPr="00B35721" w:rsidRDefault="00B35721" w:rsidP="00B35721">
            <w:r>
              <w:t>Császári</w:t>
            </w:r>
            <w:r w:rsidRPr="00B35721">
              <w:t xml:space="preserve"> birodalmi rendelet alapján, kötelező áldozatbemutatás minden alattvalónak. A keresztény vezetőket üldözték.</w:t>
            </w:r>
          </w:p>
        </w:tc>
      </w:tr>
      <w:tr w:rsidR="00B35721" w:rsidRPr="00B35721" w14:paraId="3FC52A23" w14:textId="77777777" w:rsidTr="00B357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41254" w14:textId="77777777" w:rsidR="00B35721" w:rsidRPr="00B35721" w:rsidRDefault="00B35721" w:rsidP="00B35721">
            <w:r w:rsidRPr="00B35721">
              <w:t>Kr. u. 253-260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901673" w14:textId="77777777" w:rsidR="00B35721" w:rsidRPr="00B35721" w:rsidRDefault="00B35721" w:rsidP="00B35721">
            <w:proofErr w:type="spellStart"/>
            <w:r w:rsidRPr="00B35721">
              <w:t>Valerianus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A3662" w14:textId="3C6158A7" w:rsidR="00B35721" w:rsidRPr="00B35721" w:rsidRDefault="00B35721" w:rsidP="00B35721">
            <w:r w:rsidRPr="00B35721">
              <w:t xml:space="preserve">Következetes üldözés az egyházi vezetők ellen, vértanúk közé tartozik </w:t>
            </w:r>
            <w:proofErr w:type="spellStart"/>
            <w:r>
              <w:t>Ci</w:t>
            </w:r>
            <w:r w:rsidRPr="00B35721">
              <w:t>prián</w:t>
            </w:r>
            <w:r>
              <w:t>usz</w:t>
            </w:r>
            <w:proofErr w:type="spellEnd"/>
            <w:r w:rsidRPr="00B35721">
              <w:t xml:space="preserve"> püspök.</w:t>
            </w:r>
          </w:p>
        </w:tc>
      </w:tr>
      <w:tr w:rsidR="00B35721" w:rsidRPr="00B35721" w14:paraId="3066423D" w14:textId="77777777" w:rsidTr="00B357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E6712" w14:textId="77777777" w:rsidR="00B35721" w:rsidRPr="00B35721" w:rsidRDefault="00B35721" w:rsidP="00B35721">
            <w:r w:rsidRPr="00B35721">
              <w:t>Kr. u. 303-311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4D5AA" w14:textId="77777777" w:rsidR="00B35721" w:rsidRPr="00B35721" w:rsidRDefault="00B35721" w:rsidP="00B35721">
            <w:r w:rsidRPr="00B35721">
              <w:t xml:space="preserve">Diocletianus és </w:t>
            </w:r>
            <w:proofErr w:type="spellStart"/>
            <w:r w:rsidRPr="00B35721">
              <w:t>Galerius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5901B" w14:textId="77777777" w:rsidR="00B35721" w:rsidRPr="00B35721" w:rsidRDefault="00B35721" w:rsidP="00B35721">
            <w:r w:rsidRPr="00B35721">
              <w:t>A leghevesebb üldözés, szent könyvek égetése, templomok lerombolása, vezetők letartóztatása, sok vértanú.</w:t>
            </w:r>
          </w:p>
        </w:tc>
      </w:tr>
      <w:tr w:rsidR="00B35721" w:rsidRPr="00B35721" w14:paraId="34A93B37" w14:textId="77777777" w:rsidTr="00B357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07DD40" w14:textId="77777777" w:rsidR="00B35721" w:rsidRPr="00B35721" w:rsidRDefault="00B35721" w:rsidP="00B35721">
            <w:r w:rsidRPr="00B35721">
              <w:t>Kr. u. 312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FB7D7" w14:textId="77777777" w:rsidR="00B35721" w:rsidRPr="00B35721" w:rsidRDefault="00B35721" w:rsidP="00B35721">
            <w:r w:rsidRPr="00B35721">
              <w:t>Nagy Konstantin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FC99E8" w14:textId="0557E71A" w:rsidR="00B35721" w:rsidRPr="00B35721" w:rsidRDefault="00B35721" w:rsidP="00B35721">
            <w:r w:rsidRPr="00B35721">
              <w:t xml:space="preserve">Megszünteti az üldözéseket, </w:t>
            </w:r>
            <w:proofErr w:type="spellStart"/>
            <w:r w:rsidRPr="00B35721">
              <w:t>Mil</w:t>
            </w:r>
            <w:r>
              <w:t>á</w:t>
            </w:r>
            <w:r w:rsidRPr="00B35721">
              <w:t>noi</w:t>
            </w:r>
            <w:proofErr w:type="spellEnd"/>
            <w:r w:rsidRPr="00B35721">
              <w:t xml:space="preserve"> Ediktumával szabad vallást biztosít a keresztényeknek.</w:t>
            </w:r>
          </w:p>
        </w:tc>
      </w:tr>
    </w:tbl>
    <w:p w14:paraId="03E2F094" w14:textId="77777777" w:rsidR="00B35721" w:rsidRDefault="00B35721" w:rsidP="00A26A35"/>
    <w:p w14:paraId="2A63DDCB" w14:textId="77777777" w:rsidR="00B35721" w:rsidRPr="00B35721" w:rsidRDefault="00B35721" w:rsidP="00B35721">
      <w:r w:rsidRPr="00B35721">
        <w:rPr>
          <w:b/>
          <w:bCs/>
        </w:rPr>
        <w:t>A Milánói Ediktum pontos kiadási ideje 313. február 3-a,</w:t>
      </w:r>
      <w:r w:rsidRPr="00B35721">
        <w:t xml:space="preserve"> amikor Nagy Konstantin és </w:t>
      </w:r>
      <w:proofErr w:type="spellStart"/>
      <w:r w:rsidRPr="00B35721">
        <w:t>Licinius</w:t>
      </w:r>
      <w:proofErr w:type="spellEnd"/>
      <w:r w:rsidRPr="00B35721">
        <w:t xml:space="preserve"> császár kiadta az egyezséget, amely biztosította a keresztények számára a szabad vallásgyakorlást a Római Birodalomban. A Milánói Ediktum fő célja volt a keresztényüldözések beszüntetése és a keresztény közösségek jogainak visszaállítása.</w:t>
      </w:r>
    </w:p>
    <w:p w14:paraId="54407D33" w14:textId="219673CF" w:rsidR="00B35721" w:rsidRPr="00B35721" w:rsidRDefault="00B35721" w:rsidP="00B35721">
      <w:r w:rsidRPr="00B35721">
        <w:t>A dokumentum szövege kimondta, hogy minden ember szabadon gyakorolhatja vallását, és az elkobzott keresztény javaikat vissza kell szolgáltatni. A rendelethez kapcsolódó intézkedések között szerepelt a bebörtönzöttek szabadon bocsátása és a száműzöttek visszatérés</w:t>
      </w:r>
      <w:r>
        <w:t>ének engedélyezése</w:t>
      </w:r>
      <w:r w:rsidRPr="00B35721">
        <w:t>.</w:t>
      </w:r>
    </w:p>
    <w:p w14:paraId="4910002B" w14:textId="77777777" w:rsidR="00B35721" w:rsidRPr="00B35721" w:rsidRDefault="00B35721" w:rsidP="00B35721">
      <w:r w:rsidRPr="00B35721">
        <w:t>Fontos megjegyezni, hogy bár az ediktum a vallási toleranciát hirdette, nem kizárólag a keresztények irányába, hanem általánosan más vallásokra is vonatkozott, de a kereszténység ekkor kapott elsőként hivatalos állami védelmet és elismerést.</w:t>
      </w:r>
    </w:p>
    <w:p w14:paraId="05E34804" w14:textId="78DED9E1" w:rsidR="00B35721" w:rsidRDefault="00B35721" w:rsidP="00B35721">
      <w:r w:rsidRPr="00B35721">
        <w:t xml:space="preserve">Az ediktumhoz kapcsolódó dokumentumok, mint például </w:t>
      </w:r>
      <w:proofErr w:type="spellStart"/>
      <w:r w:rsidRPr="00B35721">
        <w:t>Licinius</w:t>
      </w:r>
      <w:proofErr w:type="spellEnd"/>
      <w:r w:rsidRPr="00B35721">
        <w:t xml:space="preserve"> 313. június 13-án Nikomédiában kiadott rendelete, megerősítették és kiegészítették ezt az engedélyt.</w:t>
      </w:r>
    </w:p>
    <w:p w14:paraId="23894405" w14:textId="77777777" w:rsidR="00B35721" w:rsidRPr="00B35721" w:rsidRDefault="00B35721" w:rsidP="00F5578C">
      <w:pPr>
        <w:ind w:left="708"/>
      </w:pPr>
      <w:r w:rsidRPr="00B35721">
        <w:rPr>
          <w:b/>
          <w:bCs/>
        </w:rPr>
        <w:t xml:space="preserve">A "religio </w:t>
      </w:r>
      <w:proofErr w:type="spellStart"/>
      <w:r w:rsidRPr="00B35721">
        <w:rPr>
          <w:b/>
          <w:bCs/>
        </w:rPr>
        <w:t>licita</w:t>
      </w:r>
      <w:proofErr w:type="spellEnd"/>
      <w:r w:rsidRPr="00B35721">
        <w:rPr>
          <w:b/>
          <w:bCs/>
        </w:rPr>
        <w:t xml:space="preserve">" (megengedett vallás) kifejezés elsőként Tertullianus római keresztény író </w:t>
      </w:r>
      <w:proofErr w:type="spellStart"/>
      <w:r w:rsidRPr="00B35721">
        <w:rPr>
          <w:b/>
          <w:bCs/>
        </w:rPr>
        <w:t>Apologeticum</w:t>
      </w:r>
      <w:proofErr w:type="spellEnd"/>
      <w:r w:rsidRPr="00B35721">
        <w:rPr>
          <w:b/>
          <w:bCs/>
        </w:rPr>
        <w:t xml:space="preserve"> című művében fordul elő</w:t>
      </w:r>
      <w:r w:rsidRPr="00B35721">
        <w:t xml:space="preserve">, ahol a római jog által elfogadott vallásokat nevezte így meg. Nem egy konkrét dokumentumban szerepel, </w:t>
      </w:r>
      <w:r w:rsidRPr="00B35721">
        <w:lastRenderedPageBreak/>
        <w:t>hanem jogtörténeti fogalomként használják a római birodalomban elfogadott vallási csoportokra.</w:t>
      </w:r>
    </w:p>
    <w:p w14:paraId="64032784" w14:textId="77777777" w:rsidR="00B35721" w:rsidRPr="00B35721" w:rsidRDefault="00B35721" w:rsidP="00B35721">
      <w:r w:rsidRPr="00B35721">
        <w:t xml:space="preserve">Történetileg a "religio </w:t>
      </w:r>
      <w:proofErr w:type="spellStart"/>
      <w:r w:rsidRPr="00B35721">
        <w:t>licita</w:t>
      </w:r>
      <w:proofErr w:type="spellEnd"/>
      <w:r w:rsidRPr="00B35721">
        <w:t xml:space="preserve">" a római állam által törvényesen elismert vallásokat jelölte, melyek között eredetileg a római államvallás, a zsidó vallás és más ősi kultuszok szerepeltek. A kereszténységet kezdetben nem ismerték el "religio </w:t>
      </w:r>
      <w:proofErr w:type="spellStart"/>
      <w:r w:rsidRPr="00B35721">
        <w:t>licita</w:t>
      </w:r>
      <w:proofErr w:type="spellEnd"/>
      <w:r w:rsidRPr="00B35721">
        <w:t>"-ként, ezért üldözték.</w:t>
      </w:r>
    </w:p>
    <w:p w14:paraId="5E4F3228" w14:textId="70269DB5" w:rsidR="00B35721" w:rsidRPr="00B35721" w:rsidRDefault="00B35721" w:rsidP="00B35721">
      <w:r w:rsidRPr="00B35721">
        <w:t xml:space="preserve">A kereszténység hivatalos elismerése a Milánói Ediktummal (313) kezdődött, amikor a </w:t>
      </w:r>
      <w:proofErr w:type="gramStart"/>
      <w:r w:rsidRPr="00B35721">
        <w:t xml:space="preserve">vallásszabadságot </w:t>
      </w:r>
      <w:r>
        <w:t xml:space="preserve"> részükre</w:t>
      </w:r>
      <w:proofErr w:type="gramEnd"/>
      <w:r>
        <w:t xml:space="preserve"> is </w:t>
      </w:r>
      <w:r w:rsidRPr="00B35721">
        <w:t>biztosították.</w:t>
      </w:r>
    </w:p>
    <w:p w14:paraId="48389AFC" w14:textId="77777777" w:rsidR="00B35721" w:rsidRPr="00B35721" w:rsidRDefault="00B35721" w:rsidP="00B35721"/>
    <w:p w14:paraId="56489290" w14:textId="77777777" w:rsidR="00B35721" w:rsidRPr="00A26A35" w:rsidRDefault="00B35721" w:rsidP="00A26A35"/>
    <w:p w14:paraId="06ECB873" w14:textId="6C7F0163" w:rsidR="00A26A35" w:rsidRPr="00A26A35" w:rsidRDefault="00F5578C" w:rsidP="00A26A35">
      <w:pPr>
        <w:rPr>
          <w:b/>
          <w:bCs/>
        </w:rPr>
      </w:pPr>
      <w:r w:rsidRPr="00F5578C">
        <w:rPr>
          <w:b/>
          <w:bCs/>
        </w:rPr>
        <w:t>A Jelenések könyve kapcsolata más apokalipszisekkel</w:t>
      </w:r>
    </w:p>
    <w:p w14:paraId="57E1A693" w14:textId="77777777" w:rsidR="00A26A35" w:rsidRPr="00605C40" w:rsidRDefault="00A26A35" w:rsidP="00A26A35">
      <w:pPr>
        <w:rPr>
          <w:b/>
          <w:b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2026"/>
        <w:gridCol w:w="2109"/>
        <w:gridCol w:w="2677"/>
      </w:tblGrid>
      <w:tr w:rsidR="00CE1210" w:rsidRPr="00CE1210" w14:paraId="2C7349DD" w14:textId="77777777" w:rsidTr="00CE1210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DC8F6A" w14:textId="77777777" w:rsidR="00CE1210" w:rsidRPr="00CE1210" w:rsidRDefault="00CE1210" w:rsidP="00CE1210">
            <w:pPr>
              <w:rPr>
                <w:b/>
                <w:bCs/>
              </w:rPr>
            </w:pPr>
            <w:r w:rsidRPr="00CE1210">
              <w:rPr>
                <w:b/>
                <w:bCs/>
              </w:rPr>
              <w:t>Mű neve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69007" w14:textId="77777777" w:rsidR="00CE1210" w:rsidRPr="00CE1210" w:rsidRDefault="00CE1210" w:rsidP="00CE1210">
            <w:pPr>
              <w:rPr>
                <w:b/>
                <w:bCs/>
              </w:rPr>
            </w:pPr>
            <w:r w:rsidRPr="00CE1210">
              <w:rPr>
                <w:b/>
                <w:bCs/>
              </w:rPr>
              <w:t>Kapcsolt személy / szerző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03C91" w14:textId="77777777" w:rsidR="00CE1210" w:rsidRPr="00CE1210" w:rsidRDefault="00CE1210" w:rsidP="00CE1210">
            <w:pPr>
              <w:rPr>
                <w:b/>
                <w:bCs/>
              </w:rPr>
            </w:pPr>
            <w:r w:rsidRPr="00CE1210">
              <w:rPr>
                <w:b/>
                <w:bCs/>
              </w:rPr>
              <w:t>Időszak / datálás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04490" w14:textId="77777777" w:rsidR="00CE1210" w:rsidRPr="00CE1210" w:rsidRDefault="00CE1210" w:rsidP="00CE1210">
            <w:pPr>
              <w:rPr>
                <w:b/>
                <w:bCs/>
              </w:rPr>
            </w:pPr>
            <w:r w:rsidRPr="00CE1210">
              <w:rPr>
                <w:b/>
                <w:bCs/>
              </w:rPr>
              <w:t>Megjegyzés</w:t>
            </w:r>
          </w:p>
        </w:tc>
      </w:tr>
      <w:tr w:rsidR="00CE1210" w:rsidRPr="00CE1210" w14:paraId="18E092E5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57F5F" w14:textId="77777777" w:rsidR="00CE1210" w:rsidRPr="00CE1210" w:rsidRDefault="00CE1210" w:rsidP="00CE1210">
            <w:r w:rsidRPr="00CE1210">
              <w:t>Énok első könyve (Énok apokalipszise)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4426B" w14:textId="77777777" w:rsidR="00CE1210" w:rsidRPr="00CE1210" w:rsidRDefault="00CE1210" w:rsidP="00CE1210">
            <w:r w:rsidRPr="00CE1210">
              <w:t>Énok (hegylakó, ősi bibliai alak)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84D3B8" w14:textId="77777777" w:rsidR="00CE1210" w:rsidRPr="00CE1210" w:rsidRDefault="00CE1210" w:rsidP="00CE1210">
            <w:r w:rsidRPr="00CE1210">
              <w:t>Kr. e. 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BB134E" w14:textId="77777777" w:rsidR="00CE1210" w:rsidRPr="00CE1210" w:rsidRDefault="00CE1210" w:rsidP="00CE1210">
            <w:r w:rsidRPr="00CE1210">
              <w:t>Ószövetségi apokaliptikus mű, fontos zsidó irodalom</w:t>
            </w:r>
          </w:p>
        </w:tc>
      </w:tr>
      <w:tr w:rsidR="00CE1210" w:rsidRPr="00CE1210" w14:paraId="5C3A3AEE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022E5" w14:textId="77777777" w:rsidR="00CE1210" w:rsidRPr="00CE1210" w:rsidRDefault="00CE1210" w:rsidP="00CE1210">
            <w:r w:rsidRPr="00CE1210">
              <w:t>Énok második és harmadik könyve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7A4E0" w14:textId="77777777" w:rsidR="00CE1210" w:rsidRPr="00CE1210" w:rsidRDefault="00CE1210" w:rsidP="00CE1210">
            <w:r w:rsidRPr="00CE1210">
              <w:t>Ismeretlen szerzők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CFE9D" w14:textId="77777777" w:rsidR="00CE1210" w:rsidRPr="00CE1210" w:rsidRDefault="00CE1210" w:rsidP="00CE1210">
            <w:r w:rsidRPr="00CE1210">
              <w:t>1-2. század k. e. - u. sz.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0B3B0" w14:textId="77777777" w:rsidR="00CE1210" w:rsidRPr="00CE1210" w:rsidRDefault="00CE1210" w:rsidP="00CE1210">
            <w:r w:rsidRPr="00CE1210">
              <w:t>Részben kései apokaliptikus anyagok</w:t>
            </w:r>
          </w:p>
        </w:tc>
      </w:tr>
      <w:tr w:rsidR="00CE1210" w:rsidRPr="00CE1210" w14:paraId="05F5AE89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F3AE0D" w14:textId="77777777" w:rsidR="00CE1210" w:rsidRPr="00CE1210" w:rsidRDefault="00CE1210" w:rsidP="00CE1210">
            <w:r w:rsidRPr="00CE1210">
              <w:t>Ábrahám apokalipszise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910A6" w14:textId="77777777" w:rsidR="00CE1210" w:rsidRPr="00CE1210" w:rsidRDefault="00CE1210" w:rsidP="00CE1210">
            <w:r w:rsidRPr="00CE1210">
              <w:t>Ábrahám (legendárium)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087AB" w14:textId="77777777" w:rsidR="00CE1210" w:rsidRPr="00CE1210" w:rsidRDefault="00CE1210" w:rsidP="00CE1210">
            <w:r w:rsidRPr="00CE1210">
              <w:t>1-2.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51A361" w14:textId="77777777" w:rsidR="00CE1210" w:rsidRPr="00CE1210" w:rsidRDefault="00CE1210" w:rsidP="00CE1210">
            <w:r w:rsidRPr="00CE1210">
              <w:t xml:space="preserve">Apokrif mű, zsidó </w:t>
            </w:r>
            <w:proofErr w:type="spellStart"/>
            <w:r w:rsidRPr="00CE1210">
              <w:t>apokaliptika</w:t>
            </w:r>
            <w:proofErr w:type="spellEnd"/>
          </w:p>
        </w:tc>
      </w:tr>
      <w:tr w:rsidR="00CE1210" w:rsidRPr="00CE1210" w14:paraId="4187A2FB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57FA2" w14:textId="77777777" w:rsidR="00CE1210" w:rsidRPr="00CE1210" w:rsidRDefault="00CE1210" w:rsidP="00CE1210">
            <w:r w:rsidRPr="00CE1210">
              <w:t>Dániel könyve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E36BA" w14:textId="77777777" w:rsidR="00CE1210" w:rsidRPr="00CE1210" w:rsidRDefault="00CE1210" w:rsidP="00CE1210">
            <w:r w:rsidRPr="00CE1210">
              <w:t>Józsué nem azonos szerzője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66559" w14:textId="77777777" w:rsidR="00CE1210" w:rsidRPr="00CE1210" w:rsidRDefault="00CE1210" w:rsidP="00CE1210">
            <w:r w:rsidRPr="00CE1210">
              <w:t>Kr. e. 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DAD0C4" w14:textId="77777777" w:rsidR="00CE1210" w:rsidRPr="00CE1210" w:rsidRDefault="00CE1210" w:rsidP="00CE1210">
            <w:r w:rsidRPr="00CE1210">
              <w:t xml:space="preserve">Ószövetségi </w:t>
            </w:r>
            <w:proofErr w:type="spellStart"/>
            <w:r w:rsidRPr="00CE1210">
              <w:t>kánonikus</w:t>
            </w:r>
            <w:proofErr w:type="spellEnd"/>
            <w:r w:rsidRPr="00CE1210">
              <w:t xml:space="preserve"> apokalipszis</w:t>
            </w:r>
          </w:p>
        </w:tc>
      </w:tr>
      <w:tr w:rsidR="00CE1210" w:rsidRPr="00CE1210" w14:paraId="054263B8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43E5E" w14:textId="77777777" w:rsidR="00CE1210" w:rsidRPr="00CE1210" w:rsidRDefault="00CE1210" w:rsidP="00CE1210">
            <w:proofErr w:type="spellStart"/>
            <w:r w:rsidRPr="00CE1210">
              <w:t>Báruk</w:t>
            </w:r>
            <w:proofErr w:type="spellEnd"/>
            <w:r w:rsidRPr="00CE1210">
              <w:t xml:space="preserve"> apokalipszise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59650D" w14:textId="77777777" w:rsidR="00CE1210" w:rsidRPr="00CE1210" w:rsidRDefault="00CE1210" w:rsidP="00CE1210">
            <w:proofErr w:type="spellStart"/>
            <w:r w:rsidRPr="00CE1210">
              <w:t>Báruk</w:t>
            </w:r>
            <w:proofErr w:type="spellEnd"/>
            <w:r w:rsidRPr="00CE1210">
              <w:t xml:space="preserve"> (Jeremiás írnoka)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8699CF" w14:textId="77777777" w:rsidR="00CE1210" w:rsidRPr="00CE1210" w:rsidRDefault="00CE1210" w:rsidP="00CE1210">
            <w:r w:rsidRPr="00CE1210">
              <w:t>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77E3A" w14:textId="77777777" w:rsidR="00CE1210" w:rsidRPr="00CE1210" w:rsidRDefault="00CE1210" w:rsidP="00CE1210">
            <w:r w:rsidRPr="00CE1210">
              <w:t>Apokrif, legendás alakhoz kötött mű</w:t>
            </w:r>
          </w:p>
        </w:tc>
      </w:tr>
      <w:tr w:rsidR="00CE1210" w:rsidRPr="00CE1210" w14:paraId="12D0721A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F84BDB" w14:textId="77777777" w:rsidR="00CE1210" w:rsidRPr="00CE1210" w:rsidRDefault="00CE1210" w:rsidP="00CE1210">
            <w:r w:rsidRPr="00CE1210">
              <w:t>Jelenések könyve (Apokalipszis)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2EB5E" w14:textId="77777777" w:rsidR="00CE1210" w:rsidRPr="00CE1210" w:rsidRDefault="00CE1210" w:rsidP="00CE1210">
            <w:r w:rsidRPr="00CE1210">
              <w:t>János apostol / evangélista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C7B0C" w14:textId="77777777" w:rsidR="00CE1210" w:rsidRPr="00CE1210" w:rsidRDefault="00CE1210" w:rsidP="00CE1210">
            <w:r w:rsidRPr="00CE1210">
              <w:t>Kr. u. 1. század vége (Domitianus kora)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9459E" w14:textId="77777777" w:rsidR="00CE1210" w:rsidRPr="00CE1210" w:rsidRDefault="00CE1210" w:rsidP="00CE1210">
            <w:r w:rsidRPr="00CE1210">
              <w:t>Újszövetségi apokaliptikus mű, a keresztény kánon része</w:t>
            </w:r>
          </w:p>
        </w:tc>
      </w:tr>
    </w:tbl>
    <w:p w14:paraId="358151D3" w14:textId="77777777" w:rsidR="00CE1210" w:rsidRDefault="00CE1210" w:rsidP="00605C40">
      <w:pPr>
        <w:rPr>
          <w:b/>
          <w:bCs/>
        </w:rPr>
      </w:pPr>
    </w:p>
    <w:p w14:paraId="364DDCC6" w14:textId="5543FBD9" w:rsidR="00D16D13" w:rsidRPr="00CE1210" w:rsidRDefault="00CE1210" w:rsidP="00605C40">
      <w:r w:rsidRPr="00CE1210">
        <w:t xml:space="preserve">A keresztény egyházakban kizárólag a János apostolnak tulajdonított Jelenések könyve része az egyetemes kánonnak, más apokaliptikus művek (pl. </w:t>
      </w:r>
      <w:proofErr w:type="spellStart"/>
      <w:r w:rsidRPr="00CE1210">
        <w:t>Hermasz</w:t>
      </w:r>
      <w:proofErr w:type="spellEnd"/>
      <w:r>
        <w:t xml:space="preserve"> </w:t>
      </w:r>
      <w:proofErr w:type="spellStart"/>
      <w:r>
        <w:t>Pasztor</w:t>
      </w:r>
      <w:proofErr w:type="spellEnd"/>
      <w:r w:rsidRPr="00CE1210">
        <w:t>, Péter apokalipszise) apokrif jellegűek és nem részei a Szentírásnak. Az ortodoxoknál esetlegesen vannak további apokalipszisek, de ezek sem egységesen elfogadottak.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4108"/>
        <w:gridCol w:w="3180"/>
      </w:tblGrid>
      <w:tr w:rsidR="00CE1210" w:rsidRPr="00CE1210" w14:paraId="06709D95" w14:textId="77777777" w:rsidTr="00CE1210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C39090" w14:textId="77777777" w:rsidR="00CE1210" w:rsidRPr="00CE1210" w:rsidRDefault="00CE1210" w:rsidP="00CE1210">
            <w:pPr>
              <w:rPr>
                <w:b/>
                <w:bCs/>
              </w:rPr>
            </w:pPr>
            <w:r w:rsidRPr="00CE1210">
              <w:rPr>
                <w:b/>
                <w:bCs/>
              </w:rPr>
              <w:lastRenderedPageBreak/>
              <w:t>Felekezet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DAA39" w14:textId="77777777" w:rsidR="00CE1210" w:rsidRPr="00CE1210" w:rsidRDefault="00CE1210" w:rsidP="00CE1210">
            <w:pPr>
              <w:rPr>
                <w:b/>
                <w:bCs/>
              </w:rPr>
            </w:pPr>
            <w:r w:rsidRPr="00CE1210">
              <w:rPr>
                <w:b/>
                <w:bCs/>
              </w:rPr>
              <w:t>Kanonikus apokalipszisek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8123E" w14:textId="77777777" w:rsidR="00CE1210" w:rsidRPr="00CE1210" w:rsidRDefault="00CE1210" w:rsidP="00CE1210">
            <w:pPr>
              <w:rPr>
                <w:b/>
                <w:bCs/>
              </w:rPr>
            </w:pPr>
            <w:r w:rsidRPr="00CE1210">
              <w:rPr>
                <w:b/>
                <w:bCs/>
              </w:rPr>
              <w:t>Megjegyzés</w:t>
            </w:r>
          </w:p>
        </w:tc>
      </w:tr>
      <w:tr w:rsidR="00CE1210" w:rsidRPr="00CE1210" w14:paraId="1DDDA0F9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A146D" w14:textId="77777777" w:rsidR="00CE1210" w:rsidRPr="00CE1210" w:rsidRDefault="00CE1210" w:rsidP="00CE1210">
            <w:r w:rsidRPr="00CE1210">
              <w:t>Katolikus Egyház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E7562" w14:textId="77777777" w:rsidR="00CE1210" w:rsidRPr="00CE1210" w:rsidRDefault="00CE1210" w:rsidP="00CE1210">
            <w:r w:rsidRPr="00CE1210">
              <w:t>Csak a János jelenései (Jelenések könyve)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A1E00" w14:textId="77777777" w:rsidR="00CE1210" w:rsidRPr="00CE1210" w:rsidRDefault="00CE1210" w:rsidP="00CE1210">
            <w:r w:rsidRPr="00CE1210">
              <w:t>Az egyetlen apokaliptikus újszövetségi könyv, amely a hivatalos kánon része</w:t>
            </w:r>
          </w:p>
        </w:tc>
      </w:tr>
      <w:tr w:rsidR="00CE1210" w:rsidRPr="00CE1210" w14:paraId="1E12D234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75220F" w14:textId="77777777" w:rsidR="00CE1210" w:rsidRPr="00CE1210" w:rsidRDefault="00CE1210" w:rsidP="00CE1210">
            <w:r w:rsidRPr="00CE1210">
              <w:t>Ortodox Egyház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87CBA" w14:textId="77777777" w:rsidR="00CE1210" w:rsidRPr="00CE1210" w:rsidRDefault="00CE1210" w:rsidP="00CE1210">
            <w:r w:rsidRPr="00CE1210">
              <w:t>János jelenései mellett egyes ortodox iratokhoz apokaliptikus szövegek is hozzátartoznak, de a Jelenések könyve alapvető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C5DF43" w14:textId="5F67C7DC" w:rsidR="00CE1210" w:rsidRPr="00CE1210" w:rsidRDefault="00CE1210" w:rsidP="00CE1210">
            <w:r w:rsidRPr="00CE1210">
              <w:t>Több történelmi apokalipszis ismert, de csak a János könyve k</w:t>
            </w:r>
            <w:r>
              <w:t>a</w:t>
            </w:r>
            <w:r w:rsidRPr="00CE1210">
              <w:t>nonikus</w:t>
            </w:r>
          </w:p>
        </w:tc>
      </w:tr>
      <w:tr w:rsidR="00CE1210" w:rsidRPr="00CE1210" w14:paraId="559AFDEF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6C598" w14:textId="77777777" w:rsidR="00CE1210" w:rsidRPr="00CE1210" w:rsidRDefault="00CE1210" w:rsidP="00CE1210">
            <w:r w:rsidRPr="00CE1210">
              <w:t>Protestáns Egyházak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7349B" w14:textId="77777777" w:rsidR="00CE1210" w:rsidRPr="00CE1210" w:rsidRDefault="00CE1210" w:rsidP="00CE1210">
            <w:r w:rsidRPr="00CE1210">
              <w:t>János jelenései (Református, evangélikus, baptista stb.)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9F6B9" w14:textId="77777777" w:rsidR="00CE1210" w:rsidRPr="00CE1210" w:rsidRDefault="00CE1210" w:rsidP="00CE1210">
            <w:r w:rsidRPr="00CE1210">
              <w:t>A legtöbb protestáns felekezet nem fogad el más apokaliptikus könyvet</w:t>
            </w:r>
          </w:p>
        </w:tc>
      </w:tr>
      <w:tr w:rsidR="00CE1210" w:rsidRPr="00CE1210" w14:paraId="165FA0F7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C94CA" w14:textId="77777777" w:rsidR="00CE1210" w:rsidRPr="00CE1210" w:rsidRDefault="00CE1210" w:rsidP="00CE1210">
            <w:r w:rsidRPr="00CE1210">
              <w:t>Egyéb korai keresztény csoportok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4D07E" w14:textId="77777777" w:rsidR="00CE1210" w:rsidRPr="00CE1210" w:rsidRDefault="00CE1210" w:rsidP="00CE1210">
            <w:proofErr w:type="spellStart"/>
            <w:r w:rsidRPr="00CE1210">
              <w:t>Hermasz</w:t>
            </w:r>
            <w:proofErr w:type="spellEnd"/>
            <w:r w:rsidRPr="00CE1210">
              <w:t xml:space="preserve"> apokalipszise, Péter apokalipszise (de apokrif)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F33B7" w14:textId="77777777" w:rsidR="00CE1210" w:rsidRPr="00CE1210" w:rsidRDefault="00CE1210" w:rsidP="00CE1210">
            <w:r w:rsidRPr="00CE1210">
              <w:t>Ezek nem tekinthetők kanonikusnak, inkább apokrif, de a korai teológiában ismerték</w:t>
            </w:r>
          </w:p>
        </w:tc>
      </w:tr>
    </w:tbl>
    <w:p w14:paraId="65DBC454" w14:textId="77777777" w:rsidR="00CE1210" w:rsidRDefault="00CE1210" w:rsidP="00605C40"/>
    <w:p w14:paraId="1DDA75F2" w14:textId="0746600E" w:rsidR="00CE1210" w:rsidRPr="00CE1210" w:rsidRDefault="00CE1210" w:rsidP="00CE1210">
      <w:pPr>
        <w:jc w:val="center"/>
        <w:rPr>
          <w:b/>
          <w:bCs/>
          <w:sz w:val="24"/>
          <w:szCs w:val="24"/>
        </w:rPr>
      </w:pPr>
      <w:r w:rsidRPr="00CE1210">
        <w:rPr>
          <w:b/>
          <w:bCs/>
          <w:sz w:val="24"/>
          <w:szCs w:val="24"/>
        </w:rPr>
        <w:t>Jelenések könyve idézései</w:t>
      </w:r>
    </w:p>
    <w:p w14:paraId="13A12059" w14:textId="62821C03" w:rsidR="00CE1210" w:rsidRDefault="00CE1210" w:rsidP="00605C40">
      <w:r w:rsidRPr="00CE1210">
        <w:t xml:space="preserve">Ez a lista csak reprezentatív; a Jelenések könyve számtalan ószövetségi utalást tartalmaz, amelyeknek jelentős része apokaliptikus témához kapcsolódik, de találhatók benne nem apokaliptikus bibliai idézetek is. Az apokaliptikus idézetek főként látomásokat, végítéletet, </w:t>
      </w:r>
      <w:proofErr w:type="gramStart"/>
      <w:r w:rsidRPr="00CE1210">
        <w:t>Messiás eljövetelét,</w:t>
      </w:r>
      <w:proofErr w:type="gramEnd"/>
      <w:r w:rsidRPr="00CE1210">
        <w:t xml:space="preserve"> és az Isten uralmát hirdetik, míg a nem </w:t>
      </w:r>
      <w:proofErr w:type="spellStart"/>
      <w:r w:rsidRPr="00CE1210">
        <w:t>apokaliptikusak</w:t>
      </w:r>
      <w:proofErr w:type="spellEnd"/>
      <w:r w:rsidRPr="00CE1210">
        <w:t xml:space="preserve"> inkább bizonyságtételek vagy prófétai kijelentések szövegei</w:t>
      </w:r>
      <w: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2421"/>
        <w:gridCol w:w="3901"/>
      </w:tblGrid>
      <w:tr w:rsidR="00CE1210" w:rsidRPr="00CE1210" w14:paraId="751CCD85" w14:textId="77777777" w:rsidTr="00CE1210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A0AA2" w14:textId="77777777" w:rsidR="00CE1210" w:rsidRPr="00CE1210" w:rsidRDefault="00CE1210" w:rsidP="00CE1210">
            <w:pPr>
              <w:rPr>
                <w:b/>
                <w:bCs/>
              </w:rPr>
            </w:pPr>
            <w:r w:rsidRPr="00CE1210">
              <w:rPr>
                <w:b/>
                <w:bCs/>
              </w:rPr>
              <w:t>Ószövetségi könyv és idézet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6C7B6" w14:textId="77777777" w:rsidR="00CE1210" w:rsidRPr="00CE1210" w:rsidRDefault="00CE1210" w:rsidP="00CE1210">
            <w:pPr>
              <w:rPr>
                <w:b/>
                <w:bCs/>
              </w:rPr>
            </w:pPr>
            <w:r w:rsidRPr="00CE1210">
              <w:rPr>
                <w:b/>
                <w:bCs/>
              </w:rPr>
              <w:t>Jelenések könyve hivatkozás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8694F" w14:textId="77777777" w:rsidR="00CE1210" w:rsidRPr="00CE1210" w:rsidRDefault="00CE1210" w:rsidP="00CE1210">
            <w:pPr>
              <w:rPr>
                <w:b/>
                <w:bCs/>
              </w:rPr>
            </w:pPr>
            <w:r w:rsidRPr="00CE1210">
              <w:rPr>
                <w:b/>
                <w:bCs/>
              </w:rPr>
              <w:t>Apokaliptikus jelleg</w:t>
            </w:r>
          </w:p>
        </w:tc>
      </w:tr>
      <w:tr w:rsidR="00CE1210" w:rsidRPr="00CE1210" w14:paraId="66186FB7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054EA4" w14:textId="77777777" w:rsidR="00CE1210" w:rsidRPr="00CE1210" w:rsidRDefault="00CE1210" w:rsidP="00CE1210">
            <w:r w:rsidRPr="00CE1210">
              <w:t>Dániel 7,13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A6D5FF" w14:textId="77777777" w:rsidR="00CE1210" w:rsidRPr="00CE1210" w:rsidRDefault="00CE1210" w:rsidP="00CE1210">
            <w:r w:rsidRPr="00CE1210">
              <w:t>Jelenések 1:7; 14:14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6C918C" w14:textId="77777777" w:rsidR="00CE1210" w:rsidRPr="00CE1210" w:rsidRDefault="00CE1210" w:rsidP="00CE1210">
            <w:r w:rsidRPr="00CE1210">
              <w:t>Igen - apokaliptikus vízió az Emberfia megjelenéséről</w:t>
            </w:r>
          </w:p>
        </w:tc>
      </w:tr>
      <w:tr w:rsidR="00CE1210" w:rsidRPr="00CE1210" w14:paraId="779B4E46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2A0BD" w14:textId="77777777" w:rsidR="00CE1210" w:rsidRPr="00CE1210" w:rsidRDefault="00CE1210" w:rsidP="00CE1210">
            <w:r w:rsidRPr="00CE1210">
              <w:t>Zsoltárok 2:6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D43A8" w14:textId="77777777" w:rsidR="00CE1210" w:rsidRPr="00CE1210" w:rsidRDefault="00CE1210" w:rsidP="00CE1210">
            <w:r w:rsidRPr="00CE1210">
              <w:t>Jelenések 2:26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96B6F" w14:textId="77777777" w:rsidR="00CE1210" w:rsidRPr="00CE1210" w:rsidRDefault="00CE1210" w:rsidP="00CE1210">
            <w:r w:rsidRPr="00CE1210">
              <w:t>Nem - királyi messiási kifejezés</w:t>
            </w:r>
          </w:p>
        </w:tc>
      </w:tr>
      <w:tr w:rsidR="00CE1210" w:rsidRPr="00CE1210" w14:paraId="1A93C24E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16C22D" w14:textId="77777777" w:rsidR="00CE1210" w:rsidRPr="00CE1210" w:rsidRDefault="00CE1210" w:rsidP="00CE1210">
            <w:r w:rsidRPr="00CE1210">
              <w:t>Ézsaiás 9:6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23FDCF" w14:textId="77777777" w:rsidR="00CE1210" w:rsidRPr="00CE1210" w:rsidRDefault="00CE1210" w:rsidP="00CE1210">
            <w:r w:rsidRPr="00CE1210">
              <w:t>Jelenések 2:27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CCB049" w14:textId="77777777" w:rsidR="00CE1210" w:rsidRPr="00CE1210" w:rsidRDefault="00CE1210" w:rsidP="00CE1210">
            <w:r w:rsidRPr="00CE1210">
              <w:t xml:space="preserve">Nem - </w:t>
            </w:r>
            <w:proofErr w:type="spellStart"/>
            <w:r w:rsidRPr="00CE1210">
              <w:t>proclamáció</w:t>
            </w:r>
            <w:proofErr w:type="spellEnd"/>
            <w:r w:rsidRPr="00CE1210">
              <w:t xml:space="preserve"> a Messiás névéről és hatalmáról</w:t>
            </w:r>
          </w:p>
        </w:tc>
      </w:tr>
      <w:tr w:rsidR="00CE1210" w:rsidRPr="00CE1210" w14:paraId="1E4FF520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1DF76" w14:textId="77777777" w:rsidR="00CE1210" w:rsidRPr="00CE1210" w:rsidRDefault="00CE1210" w:rsidP="00CE1210">
            <w:r w:rsidRPr="00CE1210">
              <w:t>Zakariás 9:9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368364" w14:textId="77777777" w:rsidR="00CE1210" w:rsidRPr="00CE1210" w:rsidRDefault="00CE1210" w:rsidP="00CE1210">
            <w:r w:rsidRPr="00CE1210">
              <w:t>Jelenések 19:11-16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B5EC7" w14:textId="77777777" w:rsidR="00CE1210" w:rsidRPr="00CE1210" w:rsidRDefault="00CE1210" w:rsidP="00CE1210">
            <w:r w:rsidRPr="00CE1210">
              <w:t>Igen - a Messiás bejövetelének apokaliptikus képe</w:t>
            </w:r>
          </w:p>
        </w:tc>
      </w:tr>
      <w:tr w:rsidR="00CE1210" w:rsidRPr="00CE1210" w14:paraId="2051CBED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7B97C6" w14:textId="77777777" w:rsidR="00CE1210" w:rsidRPr="00CE1210" w:rsidRDefault="00CE1210" w:rsidP="00CE1210">
            <w:r w:rsidRPr="00CE1210">
              <w:lastRenderedPageBreak/>
              <w:t>Ézsaiás 42:1-7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A8E40" w14:textId="77777777" w:rsidR="00CE1210" w:rsidRPr="00CE1210" w:rsidRDefault="00CE1210" w:rsidP="00CE1210">
            <w:r w:rsidRPr="00CE1210">
              <w:t>Jelenések 11:15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008E2" w14:textId="77777777" w:rsidR="00CE1210" w:rsidRPr="00CE1210" w:rsidRDefault="00CE1210" w:rsidP="00CE1210">
            <w:r w:rsidRPr="00CE1210">
              <w:t>Nem - Isten szolgájának leírása</w:t>
            </w:r>
          </w:p>
        </w:tc>
      </w:tr>
      <w:tr w:rsidR="00CE1210" w:rsidRPr="00CE1210" w14:paraId="225E0F34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90674" w14:textId="77777777" w:rsidR="00CE1210" w:rsidRPr="00CE1210" w:rsidRDefault="00CE1210" w:rsidP="00CE1210">
            <w:r w:rsidRPr="00CE1210">
              <w:t>Zsoltárok 110:4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99BA8" w14:textId="77777777" w:rsidR="00CE1210" w:rsidRPr="00CE1210" w:rsidRDefault="00CE1210" w:rsidP="00CE1210">
            <w:r w:rsidRPr="00CE1210">
              <w:t>Jelenések 22:16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E55E43" w14:textId="77777777" w:rsidR="00CE1210" w:rsidRPr="00CE1210" w:rsidRDefault="00CE1210" w:rsidP="00CE1210">
            <w:r w:rsidRPr="00CE1210">
              <w:t>Nem - pap szerepének kijelentése</w:t>
            </w:r>
          </w:p>
        </w:tc>
      </w:tr>
      <w:tr w:rsidR="00CE1210" w:rsidRPr="00CE1210" w14:paraId="6E0B7DF9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9EFB9" w14:textId="049C635C" w:rsidR="00CE1210" w:rsidRPr="00CE1210" w:rsidRDefault="00CE1210" w:rsidP="00CE1210">
            <w:r w:rsidRPr="00CE1210">
              <w:t>Ezékiel 37 (a csont</w:t>
            </w:r>
            <w:r>
              <w:t>mező</w:t>
            </w:r>
            <w:r w:rsidRPr="00CE1210">
              <w:t xml:space="preserve"> látomása)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E37AB" w14:textId="77777777" w:rsidR="00CE1210" w:rsidRPr="00CE1210" w:rsidRDefault="00CE1210" w:rsidP="00CE1210">
            <w:r w:rsidRPr="00CE1210">
              <w:t>Jelenések 11:11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A5C15" w14:textId="77777777" w:rsidR="00CE1210" w:rsidRPr="00CE1210" w:rsidRDefault="00CE1210" w:rsidP="00CE1210">
            <w:r w:rsidRPr="00CE1210">
              <w:t>Igen - a feltámadás és újjáéledés apokaliptikus képe</w:t>
            </w:r>
          </w:p>
        </w:tc>
      </w:tr>
      <w:tr w:rsidR="00CE1210" w:rsidRPr="00CE1210" w14:paraId="4E5A89B3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CAC52" w14:textId="77777777" w:rsidR="00CE1210" w:rsidRPr="00CE1210" w:rsidRDefault="00CE1210" w:rsidP="00CE1210">
            <w:r w:rsidRPr="00CE1210">
              <w:t>Ámosz 5:27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BB12A" w14:textId="77777777" w:rsidR="00CE1210" w:rsidRPr="00CE1210" w:rsidRDefault="00CE1210" w:rsidP="00CE1210">
            <w:r w:rsidRPr="00CE1210">
              <w:t>Jelenések 9:13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856E6" w14:textId="77777777" w:rsidR="00CE1210" w:rsidRPr="00CE1210" w:rsidRDefault="00CE1210" w:rsidP="00CE1210">
            <w:r w:rsidRPr="00CE1210">
              <w:t>Igen - ítélet és pusztulás vizuálisa</w:t>
            </w:r>
          </w:p>
        </w:tc>
      </w:tr>
      <w:tr w:rsidR="00CE1210" w:rsidRPr="00CE1210" w14:paraId="27552A31" w14:textId="77777777" w:rsidTr="00CE12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17132" w14:textId="77777777" w:rsidR="00CE1210" w:rsidRPr="00CE1210" w:rsidRDefault="00CE1210" w:rsidP="00CE1210">
            <w:r w:rsidRPr="00CE1210">
              <w:t>Ézsaiás 65:17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0447B" w14:textId="77777777" w:rsidR="00CE1210" w:rsidRPr="00CE1210" w:rsidRDefault="00CE1210" w:rsidP="00CE1210">
            <w:r w:rsidRPr="00CE1210">
              <w:t>Jelenések 21-22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90212B" w14:textId="77777777" w:rsidR="00CE1210" w:rsidRPr="00CE1210" w:rsidRDefault="00CE1210" w:rsidP="00CE1210">
            <w:r w:rsidRPr="00CE1210">
              <w:t>Igen - új ég és új föld látomás</w:t>
            </w:r>
          </w:p>
        </w:tc>
      </w:tr>
    </w:tbl>
    <w:p w14:paraId="1CF7209D" w14:textId="77777777" w:rsidR="00A26A35" w:rsidRPr="00A26A35" w:rsidRDefault="00A26A35" w:rsidP="00A26A35">
      <w:r w:rsidRPr="00A26A35">
        <w:t>A János jelenések könyvében számos szimbolikus kép, kifejezés és történések találhatók, amelyek jelentései gyakran bibliai vagy teológiai kulcsfogalmakhoz kötődnek. Az alábbiakban a legfontosabb szimbólumokat és azok megfejtéseit ismertetem:</w:t>
      </w:r>
    </w:p>
    <w:p w14:paraId="4FAAE8AC" w14:textId="77777777" w:rsidR="00A26A35" w:rsidRPr="00A26A35" w:rsidRDefault="00A26A35" w:rsidP="00A26A35">
      <w:pPr>
        <w:jc w:val="center"/>
        <w:rPr>
          <w:b/>
          <w:bCs/>
        </w:rPr>
      </w:pPr>
      <w:r w:rsidRPr="00A26A35">
        <w:rPr>
          <w:b/>
          <w:bCs/>
        </w:rPr>
        <w:t>Szimbolikus képek és jelentéseik</w:t>
      </w:r>
    </w:p>
    <w:p w14:paraId="6AACECD1" w14:textId="53DAA2CC" w:rsidR="00A26A35" w:rsidRPr="00A26A35" w:rsidRDefault="00A26A35" w:rsidP="00A26A35">
      <w:pPr>
        <w:numPr>
          <w:ilvl w:val="0"/>
          <w:numId w:val="3"/>
        </w:numPr>
      </w:pPr>
      <w:r w:rsidRPr="00A26A35">
        <w:rPr>
          <w:b/>
          <w:bCs/>
        </w:rPr>
        <w:t>Hét csillag</w:t>
      </w:r>
      <w:r w:rsidRPr="00A26A35">
        <w:t> (Jel 1</w:t>
      </w:r>
      <w:r>
        <w:t>,</w:t>
      </w:r>
      <w:r w:rsidRPr="00A26A35">
        <w:t>16; 20): az egyház gyülekezeteinek angyalai vagy vezetői, az egyház felügyeletét jelképezik, illetve Jézus kezében vannak, aki hatalmat gyakorol fölöttük.</w:t>
      </w:r>
    </w:p>
    <w:p w14:paraId="07060212" w14:textId="0933776E" w:rsidR="00A26A35" w:rsidRPr="00A26A35" w:rsidRDefault="00A26A35" w:rsidP="00A26A35">
      <w:pPr>
        <w:numPr>
          <w:ilvl w:val="0"/>
          <w:numId w:val="3"/>
        </w:numPr>
      </w:pPr>
      <w:r w:rsidRPr="00A26A35">
        <w:rPr>
          <w:b/>
          <w:bCs/>
        </w:rPr>
        <w:t>Élő lények / hét ékesség</w:t>
      </w:r>
      <w:r w:rsidRPr="00A26A35">
        <w:t> (Jel 4</w:t>
      </w:r>
      <w:r>
        <w:t>,</w:t>
      </w:r>
      <w:r w:rsidRPr="00A26A35">
        <w:t>6-9): mennyei teremtmények, akik Isten dicsőségét hirdetik, az Ószövetségben is ismert trónusőrzők és angyalok.</w:t>
      </w:r>
    </w:p>
    <w:p w14:paraId="0C8A0E7C" w14:textId="77777777" w:rsidR="00A26A35" w:rsidRPr="00A26A35" w:rsidRDefault="00A26A35" w:rsidP="00A26A35">
      <w:pPr>
        <w:numPr>
          <w:ilvl w:val="0"/>
          <w:numId w:val="3"/>
        </w:numPr>
      </w:pPr>
      <w:r w:rsidRPr="00A26A35">
        <w:rPr>
          <w:b/>
          <w:bCs/>
        </w:rPr>
        <w:t>Hetes szám</w:t>
      </w:r>
      <w:r w:rsidRPr="00A26A35">
        <w:t>: a teljesség, tökéletesség szimbóluma, megjelenik a hét egyház, hét pecsét, hét harsona és hét csésze formájában.</w:t>
      </w:r>
    </w:p>
    <w:p w14:paraId="275A6964" w14:textId="492C10EC" w:rsidR="00A26A35" w:rsidRPr="00A26A35" w:rsidRDefault="00A26A35" w:rsidP="00A26A35">
      <w:pPr>
        <w:numPr>
          <w:ilvl w:val="0"/>
          <w:numId w:val="3"/>
        </w:numPr>
      </w:pPr>
      <w:r w:rsidRPr="00A26A35">
        <w:rPr>
          <w:b/>
          <w:bCs/>
        </w:rPr>
        <w:t>Kétélű kard Jézus szájában</w:t>
      </w:r>
      <w:r w:rsidRPr="00A26A35">
        <w:t>: az Isten Igéjének hatalma és igazságossága (</w:t>
      </w:r>
      <w:proofErr w:type="spellStart"/>
      <w:r w:rsidRPr="00A26A35">
        <w:t>Zsid</w:t>
      </w:r>
      <w:proofErr w:type="spellEnd"/>
      <w:r w:rsidRPr="00A26A35">
        <w:t xml:space="preserve"> 4</w:t>
      </w:r>
      <w:r>
        <w:t>,</w:t>
      </w:r>
      <w:r w:rsidRPr="00A26A35">
        <w:t>12).</w:t>
      </w:r>
    </w:p>
    <w:p w14:paraId="5289D999" w14:textId="0F9DFF8D" w:rsidR="00A26A35" w:rsidRPr="00A26A35" w:rsidRDefault="00A26A35" w:rsidP="00A26A35">
      <w:pPr>
        <w:numPr>
          <w:ilvl w:val="0"/>
          <w:numId w:val="3"/>
        </w:numPr>
      </w:pPr>
      <w:r w:rsidRPr="00A26A35">
        <w:rPr>
          <w:b/>
          <w:bCs/>
        </w:rPr>
        <w:t>Sárkány</w:t>
      </w:r>
      <w:r w:rsidRPr="00A26A35">
        <w:t> (Jel 12</w:t>
      </w:r>
      <w:r>
        <w:t>,</w:t>
      </w:r>
      <w:r w:rsidRPr="00A26A35">
        <w:t>9): Sátán, a gonosz hatalma és az Isten elleni harc jelképe.</w:t>
      </w:r>
    </w:p>
    <w:p w14:paraId="0D6DAC3C" w14:textId="77777777" w:rsidR="00A26A35" w:rsidRPr="00A26A35" w:rsidRDefault="00A26A35" w:rsidP="00A26A35">
      <w:pPr>
        <w:numPr>
          <w:ilvl w:val="0"/>
          <w:numId w:val="3"/>
        </w:numPr>
      </w:pPr>
      <w:r w:rsidRPr="00A26A35">
        <w:rPr>
          <w:b/>
          <w:bCs/>
        </w:rPr>
        <w:t>Szarvak</w:t>
      </w:r>
      <w:r w:rsidRPr="00A26A35">
        <w:t>: hatalom, uralkodás (Dán 7), a gonosz szimbólumaként és Jézus királyságaként is megjelennek.</w:t>
      </w:r>
    </w:p>
    <w:p w14:paraId="4375319E" w14:textId="77777777" w:rsidR="00A26A35" w:rsidRPr="00A26A35" w:rsidRDefault="00A26A35" w:rsidP="00A26A35">
      <w:pPr>
        <w:numPr>
          <w:ilvl w:val="0"/>
          <w:numId w:val="3"/>
        </w:numPr>
      </w:pPr>
      <w:r w:rsidRPr="00A26A35">
        <w:rPr>
          <w:b/>
          <w:bCs/>
        </w:rPr>
        <w:t>Nagy parázna asszony / Babilon</w:t>
      </w:r>
      <w:r w:rsidRPr="00A26A35">
        <w:t> (Jel 17-18): a bűnös világ, Isten elleni fellépés és az anyagi, erkölcsi romlás jelképe.</w:t>
      </w:r>
    </w:p>
    <w:p w14:paraId="01FD609B" w14:textId="268A3092" w:rsidR="00A26A35" w:rsidRPr="00A26A35" w:rsidRDefault="00A26A35" w:rsidP="00A26A35">
      <w:pPr>
        <w:numPr>
          <w:ilvl w:val="0"/>
          <w:numId w:val="3"/>
        </w:numPr>
      </w:pPr>
      <w:r w:rsidRPr="00A26A35">
        <w:rPr>
          <w:b/>
          <w:bCs/>
        </w:rPr>
        <w:t>Aratás / sarló</w:t>
      </w:r>
      <w:r w:rsidRPr="00A26A35">
        <w:t> (Jel 14</w:t>
      </w:r>
      <w:r>
        <w:t>,</w:t>
      </w:r>
      <w:r w:rsidRPr="00A26A35">
        <w:t>14-20): a végidői ítélet és az igazságosság beteljesedése.</w:t>
      </w:r>
    </w:p>
    <w:p w14:paraId="706FC47E" w14:textId="77777777" w:rsidR="00A26A35" w:rsidRPr="00A26A35" w:rsidRDefault="00A26A35" w:rsidP="00A26A35">
      <w:pPr>
        <w:numPr>
          <w:ilvl w:val="0"/>
          <w:numId w:val="3"/>
        </w:numPr>
      </w:pPr>
      <w:r w:rsidRPr="00A26A35">
        <w:rPr>
          <w:b/>
          <w:bCs/>
        </w:rPr>
        <w:t>Lenyűgöző látomások</w:t>
      </w:r>
      <w:r w:rsidRPr="00A26A35">
        <w:t xml:space="preserve">: trónus, mennyei lények, könyvek (pecsétek, </w:t>
      </w:r>
      <w:proofErr w:type="spellStart"/>
      <w:r w:rsidRPr="00A26A35">
        <w:t>scrollok</w:t>
      </w:r>
      <w:proofErr w:type="spellEnd"/>
      <w:r w:rsidRPr="00A26A35">
        <w:t>), a hatalom és ítélet allegóriái.</w:t>
      </w:r>
    </w:p>
    <w:p w14:paraId="0AD1F9BC" w14:textId="77777777" w:rsidR="00A26A35" w:rsidRPr="00A26A35" w:rsidRDefault="00A26A35" w:rsidP="00A26A35">
      <w:pPr>
        <w:rPr>
          <w:b/>
          <w:bCs/>
        </w:rPr>
      </w:pPr>
      <w:r w:rsidRPr="00A26A35">
        <w:rPr>
          <w:b/>
          <w:bCs/>
        </w:rPr>
        <w:t>Történések és értelmezésük</w:t>
      </w:r>
    </w:p>
    <w:p w14:paraId="34665154" w14:textId="77777777" w:rsidR="00A26A35" w:rsidRPr="00A26A35" w:rsidRDefault="00A26A35" w:rsidP="00A26A35">
      <w:pPr>
        <w:numPr>
          <w:ilvl w:val="0"/>
          <w:numId w:val="4"/>
        </w:numPr>
      </w:pPr>
      <w:r w:rsidRPr="00A26A35">
        <w:t>Jézus Krisztus trónusának bemutatása az isteni hatalomra és uralomra mutat.</w:t>
      </w:r>
    </w:p>
    <w:p w14:paraId="544AC78D" w14:textId="77777777" w:rsidR="00A26A35" w:rsidRPr="00A26A35" w:rsidRDefault="00A26A35" w:rsidP="00A26A35">
      <w:pPr>
        <w:numPr>
          <w:ilvl w:val="0"/>
          <w:numId w:val="4"/>
        </w:numPr>
      </w:pPr>
      <w:r w:rsidRPr="00A26A35">
        <w:t>Az egyház üldözése és megpróbáltatása, valamint Isten ítéletének eljövetelével az igazak megőrzése.</w:t>
      </w:r>
    </w:p>
    <w:p w14:paraId="53D6435D" w14:textId="77777777" w:rsidR="00A26A35" w:rsidRPr="00A26A35" w:rsidRDefault="00A26A35" w:rsidP="00A26A35">
      <w:pPr>
        <w:numPr>
          <w:ilvl w:val="0"/>
          <w:numId w:val="4"/>
        </w:numPr>
      </w:pPr>
      <w:r w:rsidRPr="00A26A35">
        <w:t>A végső győzelem a gonosz felett, a "nagy ítélet", az új ég és új föld megjelenése.</w:t>
      </w:r>
    </w:p>
    <w:p w14:paraId="5DE32A23" w14:textId="77777777" w:rsidR="00A26A35" w:rsidRPr="00A26A35" w:rsidRDefault="00A26A35" w:rsidP="00A26A35">
      <w:pPr>
        <w:numPr>
          <w:ilvl w:val="0"/>
          <w:numId w:val="4"/>
        </w:numPr>
      </w:pPr>
      <w:r w:rsidRPr="00A26A35">
        <w:lastRenderedPageBreak/>
        <w:t>A kíméletlenség és a könyörületesség kettőssége Isten ítéletében és kegyelmében.</w:t>
      </w:r>
    </w:p>
    <w:p w14:paraId="6ED47B5F" w14:textId="77777777" w:rsidR="00A26A35" w:rsidRPr="00A26A35" w:rsidRDefault="00A26A35" w:rsidP="00A26A35">
      <w:r w:rsidRPr="00A26A35">
        <w:t>Ezek a szimbólumok nem konkrét történelmi eseményeket írnak le, hanem a vallási élményt, a hitet és a megváltás eljövetelét allegorikus, képi formában jelenítik meg. Ezért a Jelenések könyve nyelvezete erősen szimbolikus és többértelmű, ami megértését különleges hermeneutikai megközelítést igényel</w:t>
      </w:r>
    </w:p>
    <w:p w14:paraId="6C2E2A84" w14:textId="7E9514A7" w:rsidR="00CE1210" w:rsidRPr="00F5578C" w:rsidRDefault="00F5578C" w:rsidP="00F5578C">
      <w:pPr>
        <w:jc w:val="center"/>
        <w:rPr>
          <w:b/>
          <w:bCs/>
        </w:rPr>
      </w:pPr>
      <w:r w:rsidRPr="00F5578C">
        <w:rPr>
          <w:b/>
          <w:bCs/>
        </w:rPr>
        <w:t>Vita a</w:t>
      </w:r>
      <w:r>
        <w:rPr>
          <w:b/>
          <w:bCs/>
        </w:rPr>
        <w:t xml:space="preserve"> Jelenések könyve</w:t>
      </w:r>
      <w:r w:rsidRPr="00F5578C">
        <w:rPr>
          <w:b/>
          <w:bCs/>
        </w:rPr>
        <w:t xml:space="preserve"> </w:t>
      </w:r>
      <w:proofErr w:type="spellStart"/>
      <w:r w:rsidRPr="00F5578C">
        <w:rPr>
          <w:b/>
          <w:bCs/>
        </w:rPr>
        <w:t>kánoniságáról</w:t>
      </w:r>
      <w:proofErr w:type="spellEnd"/>
    </w:p>
    <w:p w14:paraId="44998198" w14:textId="77777777" w:rsidR="00F5578C" w:rsidRPr="00F5578C" w:rsidRDefault="00F5578C" w:rsidP="00F5578C">
      <w:r w:rsidRPr="00F5578C">
        <w:t>A János jelenések könyvének kánoni vitája már a korai egyházban is jelen volt, és a mű végleges kánoni elfogadása hosszú folyamat eredménye volt.</w:t>
      </w:r>
    </w:p>
    <w:p w14:paraId="500D7331" w14:textId="77777777" w:rsidR="00F5578C" w:rsidRPr="00F5578C" w:rsidRDefault="00F5578C" w:rsidP="00F5578C">
      <w:pPr>
        <w:rPr>
          <w:b/>
          <w:bCs/>
        </w:rPr>
      </w:pPr>
      <w:r w:rsidRPr="00F5578C">
        <w:rPr>
          <w:b/>
          <w:bCs/>
        </w:rPr>
        <w:t>Kánoni vita kezdeti időszaka és főbb személyiségek</w:t>
      </w:r>
    </w:p>
    <w:p w14:paraId="2F0909E0" w14:textId="77777777" w:rsidR="00F5578C" w:rsidRPr="00F5578C" w:rsidRDefault="00F5578C" w:rsidP="00F5578C">
      <w:pPr>
        <w:numPr>
          <w:ilvl w:val="0"/>
          <w:numId w:val="6"/>
        </w:numPr>
      </w:pPr>
      <w:r w:rsidRPr="00F5578C">
        <w:t xml:space="preserve">A 2. században már többen apostoli tekintélyt tulajdonítottak a műnek, például Szent </w:t>
      </w:r>
      <w:proofErr w:type="spellStart"/>
      <w:r w:rsidRPr="00F5578C">
        <w:t>Jusztinusz</w:t>
      </w:r>
      <w:proofErr w:type="spellEnd"/>
      <w:r w:rsidRPr="00F5578C">
        <w:t xml:space="preserve">, </w:t>
      </w:r>
      <w:proofErr w:type="spellStart"/>
      <w:r w:rsidRPr="00F5578C">
        <w:t>Hierapoliszi</w:t>
      </w:r>
      <w:proofErr w:type="spellEnd"/>
      <w:r w:rsidRPr="00F5578C">
        <w:t xml:space="preserve"> Papiasz, és Szardeszi Meliton János apostolt tartották a szerzőnek.</w:t>
      </w:r>
    </w:p>
    <w:p w14:paraId="08CC9F82" w14:textId="77777777" w:rsidR="00F5578C" w:rsidRPr="00F5578C" w:rsidRDefault="00F5578C" w:rsidP="00F5578C">
      <w:pPr>
        <w:numPr>
          <w:ilvl w:val="0"/>
          <w:numId w:val="6"/>
        </w:numPr>
      </w:pPr>
      <w:r w:rsidRPr="00F5578C">
        <w:t xml:space="preserve">Azonban már </w:t>
      </w:r>
      <w:proofErr w:type="spellStart"/>
      <w:r w:rsidRPr="00F5578C">
        <w:t>Gaius</w:t>
      </w:r>
      <w:proofErr w:type="spellEnd"/>
      <w:r w:rsidRPr="00F5578C">
        <w:t xml:space="preserve"> (kb. Kr. u. 210) a könyvet egy gnosztikus szerzőnek tulajdonította, és a nagy egyháztörténész </w:t>
      </w:r>
      <w:proofErr w:type="spellStart"/>
      <w:r w:rsidRPr="00F5578C">
        <w:t>Eusébius</w:t>
      </w:r>
      <w:proofErr w:type="spellEnd"/>
      <w:r w:rsidRPr="00F5578C">
        <w:t xml:space="preserve"> is a 4. század elején ingadozott a kánoni státusát illetően.</w:t>
      </w:r>
    </w:p>
    <w:p w14:paraId="2D0FFC7E" w14:textId="77777777" w:rsidR="00F5578C" w:rsidRPr="00F5578C" w:rsidRDefault="00F5578C" w:rsidP="00F5578C">
      <w:pPr>
        <w:numPr>
          <w:ilvl w:val="0"/>
          <w:numId w:val="6"/>
        </w:numPr>
      </w:pPr>
      <w:r w:rsidRPr="00F5578C">
        <w:t>A 16. századi reformátorok közül Erasmus, Luther és Kálvin is megkérdőjelezték a könyv apostoli szerzőségét és kánoni tekintélyét.</w:t>
      </w:r>
    </w:p>
    <w:p w14:paraId="59564570" w14:textId="77777777" w:rsidR="00F5578C" w:rsidRPr="00F5578C" w:rsidRDefault="00F5578C" w:rsidP="00F5578C">
      <w:pPr>
        <w:rPr>
          <w:b/>
          <w:bCs/>
        </w:rPr>
      </w:pPr>
      <w:r w:rsidRPr="00F5578C">
        <w:rPr>
          <w:b/>
          <w:bCs/>
        </w:rPr>
        <w:t>Kánoni elfogadás</w:t>
      </w:r>
    </w:p>
    <w:p w14:paraId="5DB2C775" w14:textId="77777777" w:rsidR="00F5578C" w:rsidRPr="00F5578C" w:rsidRDefault="00F5578C" w:rsidP="00F5578C">
      <w:pPr>
        <w:numPr>
          <w:ilvl w:val="0"/>
          <w:numId w:val="7"/>
        </w:numPr>
      </w:pPr>
      <w:r w:rsidRPr="00F5578C">
        <w:t>A nyugati egyház a 4. század végén fogadta el hivatalosan a Jelenések könyvét a kánon részének.</w:t>
      </w:r>
    </w:p>
    <w:p w14:paraId="2E9AB151" w14:textId="77777777" w:rsidR="00F5578C" w:rsidRPr="00F5578C" w:rsidRDefault="00F5578C" w:rsidP="00F5578C">
      <w:pPr>
        <w:numPr>
          <w:ilvl w:val="0"/>
          <w:numId w:val="7"/>
        </w:numPr>
      </w:pPr>
      <w:r w:rsidRPr="00F5578C">
        <w:t>A keleti egyházban a kánoni elfogadás később, a 9. századtól vált egységes és általános.</w:t>
      </w:r>
    </w:p>
    <w:p w14:paraId="7F9133C8" w14:textId="77777777" w:rsidR="00F5578C" w:rsidRPr="00F5578C" w:rsidRDefault="00F5578C" w:rsidP="00F5578C">
      <w:pPr>
        <w:numPr>
          <w:ilvl w:val="0"/>
          <w:numId w:val="7"/>
        </w:numPr>
      </w:pPr>
      <w:r w:rsidRPr="00F5578C">
        <w:t>A könyv kánoni státusza máig vitatott maradt bizonyos egyházi körökben, például az ortodox egyházban nem része a szent liturgiának.</w:t>
      </w:r>
    </w:p>
    <w:p w14:paraId="007C8B2D" w14:textId="77777777" w:rsidR="00F5578C" w:rsidRPr="00F5578C" w:rsidRDefault="00F5578C" w:rsidP="00F5578C">
      <w:pPr>
        <w:rPr>
          <w:b/>
          <w:bCs/>
        </w:rPr>
      </w:pPr>
      <w:r w:rsidRPr="00F5578C">
        <w:rPr>
          <w:b/>
          <w:bCs/>
        </w:rPr>
        <w:t>Következmények</w:t>
      </w:r>
    </w:p>
    <w:p w14:paraId="44F3F937" w14:textId="77777777" w:rsidR="00F5578C" w:rsidRPr="00F5578C" w:rsidRDefault="00F5578C" w:rsidP="00F5578C">
      <w:pPr>
        <w:numPr>
          <w:ilvl w:val="0"/>
          <w:numId w:val="8"/>
        </w:numPr>
      </w:pPr>
      <w:r w:rsidRPr="00F5578C">
        <w:t>A könyv nehézsége és szimbolikus, apokaliptikus nyelvezete miatt sokáig tartó vitát váltott ki.</w:t>
      </w:r>
    </w:p>
    <w:p w14:paraId="5EAC91D7" w14:textId="77777777" w:rsidR="00F5578C" w:rsidRPr="00F5578C" w:rsidRDefault="00F5578C" w:rsidP="00F5578C">
      <w:pPr>
        <w:numPr>
          <w:ilvl w:val="0"/>
          <w:numId w:val="8"/>
        </w:numPr>
      </w:pPr>
      <w:r w:rsidRPr="00F5578C">
        <w:t>A kánoni elfogadás ellenére a Jelenések könyvének helye sok vitát kiváltó, különleges könyv marad az Újszövetségben.</w:t>
      </w:r>
    </w:p>
    <w:p w14:paraId="1D63C8C3" w14:textId="77777777" w:rsidR="00F5578C" w:rsidRPr="00F5578C" w:rsidRDefault="00F5578C" w:rsidP="00F5578C">
      <w:r w:rsidRPr="00F5578C">
        <w:t>Összefoglalva: a Jelenések könyvének kánoni státusza a 2. századtól folyamatosan vita tárgyát képezte, végleges nyugati elfogadása a 4. század végén történt, a keleti egyházakban pedig csak a 9. századtól tekintik egyöntetűen kánoninak</w:t>
      </w:r>
    </w:p>
    <w:p w14:paraId="3457B9FE" w14:textId="586AD986" w:rsidR="00F5578C" w:rsidRPr="00F5578C" w:rsidRDefault="00F5578C" w:rsidP="00F5578C">
      <w:r w:rsidRPr="00F5578C">
        <w:rPr>
          <w:b/>
          <w:bCs/>
        </w:rPr>
        <w:t>A János jelenések könyvének legrégebbi kódexei</w:t>
      </w:r>
      <w:r w:rsidRPr="00F5578C">
        <w:t xml:space="preserve"> </w:t>
      </w:r>
    </w:p>
    <w:p w14:paraId="24872303" w14:textId="77777777" w:rsidR="00F5578C" w:rsidRPr="00F5578C" w:rsidRDefault="00F5578C" w:rsidP="00F5578C">
      <w:pPr>
        <w:numPr>
          <w:ilvl w:val="0"/>
          <w:numId w:val="9"/>
        </w:numPr>
      </w:pPr>
      <w:proofErr w:type="spellStart"/>
      <w:r w:rsidRPr="00F5578C">
        <w:rPr>
          <w:b/>
          <w:bCs/>
        </w:rPr>
        <w:t>Codex</w:t>
      </w:r>
      <w:proofErr w:type="spellEnd"/>
      <w:r w:rsidRPr="00F5578C">
        <w:rPr>
          <w:b/>
          <w:bCs/>
        </w:rPr>
        <w:t xml:space="preserve"> </w:t>
      </w:r>
      <w:proofErr w:type="spellStart"/>
      <w:r w:rsidRPr="00F5578C">
        <w:rPr>
          <w:b/>
          <w:bCs/>
        </w:rPr>
        <w:t>Sinaiticus</w:t>
      </w:r>
      <w:proofErr w:type="spellEnd"/>
      <w:r w:rsidRPr="00F5578C">
        <w:t> (IV. század): A görög Újszövetség egyik legrégebbi, nagy terjedelmű kézirata, amely tartalmazza a Jelenések könyvét is. Fontos forrás a bibliai szövegkritikában.</w:t>
      </w:r>
    </w:p>
    <w:p w14:paraId="6F56E67B" w14:textId="77777777" w:rsidR="00F5578C" w:rsidRPr="00F5578C" w:rsidRDefault="00F5578C" w:rsidP="00F5578C">
      <w:pPr>
        <w:numPr>
          <w:ilvl w:val="0"/>
          <w:numId w:val="9"/>
        </w:numPr>
      </w:pPr>
      <w:proofErr w:type="spellStart"/>
      <w:r w:rsidRPr="00F5578C">
        <w:rPr>
          <w:b/>
          <w:bCs/>
        </w:rPr>
        <w:t>Codex</w:t>
      </w:r>
      <w:proofErr w:type="spellEnd"/>
      <w:r w:rsidRPr="00F5578C">
        <w:rPr>
          <w:b/>
          <w:bCs/>
        </w:rPr>
        <w:t xml:space="preserve"> </w:t>
      </w:r>
      <w:proofErr w:type="spellStart"/>
      <w:r w:rsidRPr="00F5578C">
        <w:rPr>
          <w:b/>
          <w:bCs/>
        </w:rPr>
        <w:t>Vaticanus</w:t>
      </w:r>
      <w:proofErr w:type="spellEnd"/>
      <w:r w:rsidRPr="00F5578C">
        <w:t> (IV. század): Egy másik jelentős görög kézirat, amelynek másolatai között a Jelenések könyve nem teljes egészében maradt fenn, de jelentős részeit tartalmazza.</w:t>
      </w:r>
    </w:p>
    <w:p w14:paraId="73D4E5F4" w14:textId="77777777" w:rsidR="00F5578C" w:rsidRPr="00F5578C" w:rsidRDefault="00F5578C" w:rsidP="00F5578C">
      <w:pPr>
        <w:numPr>
          <w:ilvl w:val="0"/>
          <w:numId w:val="9"/>
        </w:numPr>
      </w:pPr>
      <w:proofErr w:type="spellStart"/>
      <w:r w:rsidRPr="00F5578C">
        <w:rPr>
          <w:b/>
          <w:bCs/>
        </w:rPr>
        <w:lastRenderedPageBreak/>
        <w:t>Codex</w:t>
      </w:r>
      <w:proofErr w:type="spellEnd"/>
      <w:r w:rsidRPr="00F5578C">
        <w:rPr>
          <w:b/>
          <w:bCs/>
        </w:rPr>
        <w:t xml:space="preserve"> Alexandrinus</w:t>
      </w:r>
      <w:r w:rsidRPr="00F5578C">
        <w:t> (V. század): Ez az egyik legkorábbi teljes Biblia-kézirat, amely a Jelenések könyvét is tartalmazza.</w:t>
      </w:r>
    </w:p>
    <w:p w14:paraId="4986C9C9" w14:textId="77777777" w:rsidR="00F5578C" w:rsidRPr="00F5578C" w:rsidRDefault="00F5578C" w:rsidP="00F5578C">
      <w:pPr>
        <w:numPr>
          <w:ilvl w:val="0"/>
          <w:numId w:val="9"/>
        </w:numPr>
      </w:pPr>
      <w:proofErr w:type="spellStart"/>
      <w:r w:rsidRPr="00F5578C">
        <w:rPr>
          <w:b/>
          <w:bCs/>
        </w:rPr>
        <w:t>Codex</w:t>
      </w:r>
      <w:proofErr w:type="spellEnd"/>
      <w:r w:rsidRPr="00F5578C">
        <w:rPr>
          <w:b/>
          <w:bCs/>
        </w:rPr>
        <w:t xml:space="preserve"> </w:t>
      </w:r>
      <w:proofErr w:type="spellStart"/>
      <w:r w:rsidRPr="00F5578C">
        <w:rPr>
          <w:b/>
          <w:bCs/>
        </w:rPr>
        <w:t>Ephraemi</w:t>
      </w:r>
      <w:proofErr w:type="spellEnd"/>
      <w:r w:rsidRPr="00F5578C">
        <w:rPr>
          <w:b/>
          <w:bCs/>
        </w:rPr>
        <w:t xml:space="preserve"> </w:t>
      </w:r>
      <w:proofErr w:type="spellStart"/>
      <w:r w:rsidRPr="00F5578C">
        <w:rPr>
          <w:b/>
          <w:bCs/>
        </w:rPr>
        <w:t>Rescriptus</w:t>
      </w:r>
      <w:proofErr w:type="spellEnd"/>
      <w:r w:rsidRPr="00F5578C">
        <w:t> (V. század): részleges görög kézirat, melyből még maradt fenn az apokalipszis egyes szakasza.</w:t>
      </w:r>
    </w:p>
    <w:p w14:paraId="52F7FF82" w14:textId="77777777" w:rsidR="00F5578C" w:rsidRDefault="00F5578C" w:rsidP="00F5578C">
      <w:r w:rsidRPr="00F5578C">
        <w:t>Ezek a kódexek főként a IV-V. századból származnak, és az Újszövetség szövegének legfontosabb és legkorábbi forrásai közé tartoznak. Ez a kor azonban már az írásmű létrejöttétől (i. sz. 90-es évek) jelentősen eltávolodik, így a Jelenések könyvének első szövegei valószínűleg korábbi kéziratokból erednek, melyek ma már nem maradtak fenn.</w:t>
      </w:r>
    </w:p>
    <w:p w14:paraId="2A049047" w14:textId="77777777" w:rsidR="009D48FE" w:rsidRDefault="009D48FE" w:rsidP="00F5578C"/>
    <w:p w14:paraId="37AB395B" w14:textId="5472E691" w:rsidR="009D48FE" w:rsidRPr="00F5578C" w:rsidRDefault="009D48FE" w:rsidP="009D48FE">
      <w:pPr>
        <w:jc w:val="center"/>
        <w:rPr>
          <w:b/>
          <w:bCs/>
        </w:rPr>
      </w:pPr>
      <w:r w:rsidRPr="009D48FE">
        <w:rPr>
          <w:b/>
          <w:bCs/>
        </w:rPr>
        <w:t>A Jelenések könyvének jelentős ókori és modern kori kommentárjai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1372"/>
        <w:gridCol w:w="2750"/>
        <w:gridCol w:w="1485"/>
        <w:gridCol w:w="2520"/>
      </w:tblGrid>
      <w:tr w:rsidR="009D48FE" w:rsidRPr="009D48FE" w14:paraId="33C43CA9" w14:textId="77777777" w:rsidTr="009D48FE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6DD04" w14:textId="77777777" w:rsidR="009D48FE" w:rsidRPr="009D48FE" w:rsidRDefault="009D48FE" w:rsidP="009D48FE">
            <w:pPr>
              <w:rPr>
                <w:b/>
                <w:bCs/>
              </w:rPr>
            </w:pPr>
            <w:r w:rsidRPr="009D48FE">
              <w:rPr>
                <w:b/>
                <w:bCs/>
              </w:rPr>
              <w:t>Nyelv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9B4BA" w14:textId="77777777" w:rsidR="009D48FE" w:rsidRPr="009D48FE" w:rsidRDefault="009D48FE" w:rsidP="009D48FE">
            <w:pPr>
              <w:rPr>
                <w:b/>
                <w:bCs/>
              </w:rPr>
            </w:pPr>
            <w:r w:rsidRPr="009D48FE">
              <w:rPr>
                <w:b/>
                <w:bCs/>
              </w:rPr>
              <w:t>Szerző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7707FB" w14:textId="77777777" w:rsidR="009D48FE" w:rsidRPr="009D48FE" w:rsidRDefault="009D48FE" w:rsidP="009D48FE">
            <w:pPr>
              <w:rPr>
                <w:b/>
                <w:bCs/>
              </w:rPr>
            </w:pPr>
            <w:r w:rsidRPr="009D48FE">
              <w:rPr>
                <w:b/>
                <w:bCs/>
              </w:rPr>
              <w:t>Mű címe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9FBCE" w14:textId="77777777" w:rsidR="009D48FE" w:rsidRPr="009D48FE" w:rsidRDefault="009D48FE" w:rsidP="009D48FE">
            <w:pPr>
              <w:rPr>
                <w:b/>
                <w:bCs/>
              </w:rPr>
            </w:pPr>
            <w:r w:rsidRPr="009D48FE">
              <w:rPr>
                <w:b/>
                <w:bCs/>
              </w:rPr>
              <w:t>Keletkezés ideje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DDC95" w14:textId="77777777" w:rsidR="009D48FE" w:rsidRPr="009D48FE" w:rsidRDefault="009D48FE" w:rsidP="009D48FE">
            <w:pPr>
              <w:rPr>
                <w:b/>
                <w:bCs/>
              </w:rPr>
            </w:pPr>
            <w:r w:rsidRPr="009D48FE">
              <w:rPr>
                <w:b/>
                <w:bCs/>
              </w:rPr>
              <w:t>Megjegyzés</w:t>
            </w:r>
          </w:p>
        </w:tc>
      </w:tr>
      <w:tr w:rsidR="009D48FE" w:rsidRPr="009D48FE" w14:paraId="35B902DF" w14:textId="77777777" w:rsidTr="009D48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57F4E4" w14:textId="77777777" w:rsidR="009D48FE" w:rsidRPr="009D48FE" w:rsidRDefault="009D48FE" w:rsidP="009D48FE">
            <w:r w:rsidRPr="009D48FE">
              <w:t>Latin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5A8BF8" w14:textId="77777777" w:rsidR="009D48FE" w:rsidRPr="009D48FE" w:rsidRDefault="009D48FE" w:rsidP="009D48FE">
            <w:r w:rsidRPr="009D48FE">
              <w:t>Ambrus Szent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88B54" w14:textId="77777777" w:rsidR="009D48FE" w:rsidRPr="009D48FE" w:rsidRDefault="009D48FE" w:rsidP="009D48FE">
            <w:r w:rsidRPr="009D48FE">
              <w:t>Kommentár a Jelenések könyvéhez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5CE16" w14:textId="77777777" w:rsidR="009D48FE" w:rsidRPr="009D48FE" w:rsidRDefault="009D48FE" w:rsidP="009D48FE">
            <w:r w:rsidRPr="009D48FE">
              <w:t>Kr. u. 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00126" w14:textId="77777777" w:rsidR="009D48FE" w:rsidRPr="009D48FE" w:rsidRDefault="009D48FE" w:rsidP="009D48FE">
            <w:r w:rsidRPr="009D48FE">
              <w:t>Korai egyházi apológia és magyarázat</w:t>
            </w:r>
          </w:p>
        </w:tc>
      </w:tr>
      <w:tr w:rsidR="009D48FE" w:rsidRPr="009D48FE" w14:paraId="47FF866B" w14:textId="77777777" w:rsidTr="009D48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AFE65A" w14:textId="77777777" w:rsidR="009D48FE" w:rsidRPr="009D48FE" w:rsidRDefault="009D48FE" w:rsidP="009D48FE">
            <w:r w:rsidRPr="009D48FE">
              <w:t>Latin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4CD29" w14:textId="77777777" w:rsidR="009D48FE" w:rsidRPr="009D48FE" w:rsidRDefault="009D48FE" w:rsidP="009D48FE">
            <w:r w:rsidRPr="009D48FE">
              <w:t>Ágoston Szent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F55CA" w14:textId="77777777" w:rsidR="009D48FE" w:rsidRPr="009D48FE" w:rsidRDefault="009D48FE" w:rsidP="009D48FE">
            <w:r w:rsidRPr="009D48FE">
              <w:t xml:space="preserve">De </w:t>
            </w:r>
            <w:proofErr w:type="spellStart"/>
            <w:r w:rsidRPr="009D48FE">
              <w:t>civitate</w:t>
            </w:r>
            <w:proofErr w:type="spellEnd"/>
            <w:r w:rsidRPr="009D48FE">
              <w:t xml:space="preserve"> Dei (Isten városáról)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B138D" w14:textId="77777777" w:rsidR="009D48FE" w:rsidRPr="009D48FE" w:rsidRDefault="009D48FE" w:rsidP="009D48FE">
            <w:r w:rsidRPr="009D48FE">
              <w:t>Kr. u. 5.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59FB03" w14:textId="77777777" w:rsidR="009D48FE" w:rsidRPr="009D48FE" w:rsidRDefault="009D48FE" w:rsidP="009D48FE">
            <w:r w:rsidRPr="009D48FE">
              <w:t>Teológiai érvelés a könyv jelentőségéről</w:t>
            </w:r>
          </w:p>
        </w:tc>
      </w:tr>
      <w:tr w:rsidR="009D48FE" w:rsidRPr="009D48FE" w14:paraId="227977FC" w14:textId="77777777" w:rsidTr="009D48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49907" w14:textId="77777777" w:rsidR="009D48FE" w:rsidRPr="009D48FE" w:rsidRDefault="009D48FE" w:rsidP="009D48FE">
            <w:r w:rsidRPr="009D48FE">
              <w:t>Német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F796F" w14:textId="77777777" w:rsidR="009D48FE" w:rsidRPr="009D48FE" w:rsidRDefault="009D48FE" w:rsidP="009D48FE">
            <w:r w:rsidRPr="009D48FE">
              <w:t xml:space="preserve">Franz </w:t>
            </w:r>
            <w:proofErr w:type="spellStart"/>
            <w:r w:rsidRPr="009D48FE">
              <w:t>Delitzsch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273A2" w14:textId="77777777" w:rsidR="009D48FE" w:rsidRPr="009D48FE" w:rsidRDefault="009D48FE" w:rsidP="009D48FE">
            <w:proofErr w:type="spellStart"/>
            <w:r w:rsidRPr="009D48FE">
              <w:t>Kommentar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zur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Offenbarung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des</w:t>
            </w:r>
            <w:proofErr w:type="spellEnd"/>
            <w:r w:rsidRPr="009D48FE">
              <w:t xml:space="preserve"> Johannes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B05AA" w14:textId="77777777" w:rsidR="009D48FE" w:rsidRPr="009D48FE" w:rsidRDefault="009D48FE" w:rsidP="009D48FE">
            <w:r w:rsidRPr="009D48FE">
              <w:t>19.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50F51" w14:textId="77777777" w:rsidR="009D48FE" w:rsidRPr="009D48FE" w:rsidRDefault="009D48FE" w:rsidP="009D48FE">
            <w:r w:rsidRPr="009D48FE">
              <w:t>Klasszikus német nyelvű bibliai kommentár</w:t>
            </w:r>
          </w:p>
        </w:tc>
      </w:tr>
      <w:tr w:rsidR="009D48FE" w:rsidRPr="009D48FE" w14:paraId="3D994E89" w14:textId="77777777" w:rsidTr="009D48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CC50E" w14:textId="77777777" w:rsidR="009D48FE" w:rsidRPr="009D48FE" w:rsidRDefault="009D48FE" w:rsidP="009D48FE">
            <w:r w:rsidRPr="009D48FE">
              <w:t>Német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208102" w14:textId="77777777" w:rsidR="009D48FE" w:rsidRPr="009D48FE" w:rsidRDefault="009D48FE" w:rsidP="009D48FE">
            <w:r w:rsidRPr="009D48FE">
              <w:t>Gerhard Kittel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01D1D0" w14:textId="77777777" w:rsidR="009D48FE" w:rsidRPr="009D48FE" w:rsidRDefault="009D48FE" w:rsidP="009D48FE">
            <w:proofErr w:type="spellStart"/>
            <w:r w:rsidRPr="009D48FE">
              <w:t>Neutestamentliche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Apokalyptik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AF938" w14:textId="77777777" w:rsidR="009D48FE" w:rsidRPr="009D48FE" w:rsidRDefault="009D48FE" w:rsidP="009D48FE">
            <w:r w:rsidRPr="009D48FE">
              <w:t>20.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7BF79" w14:textId="77777777" w:rsidR="009D48FE" w:rsidRPr="009D48FE" w:rsidRDefault="009D48FE" w:rsidP="009D48FE">
            <w:r w:rsidRPr="009D48FE">
              <w:t>Tudományos kritikai elemzés</w:t>
            </w:r>
          </w:p>
        </w:tc>
      </w:tr>
      <w:tr w:rsidR="009D48FE" w:rsidRPr="009D48FE" w14:paraId="483828A6" w14:textId="77777777" w:rsidTr="009D48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6C5D8" w14:textId="77777777" w:rsidR="009D48FE" w:rsidRPr="009D48FE" w:rsidRDefault="009D48FE" w:rsidP="009D48FE">
            <w:r w:rsidRPr="009D48FE">
              <w:t>Angol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C0D4C6" w14:textId="77777777" w:rsidR="009D48FE" w:rsidRPr="009D48FE" w:rsidRDefault="009D48FE" w:rsidP="009D48FE">
            <w:r w:rsidRPr="009D48FE">
              <w:t xml:space="preserve">G. B. </w:t>
            </w:r>
            <w:proofErr w:type="spellStart"/>
            <w:r w:rsidRPr="009D48FE">
              <w:t>Caird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F7996" w14:textId="77777777" w:rsidR="009D48FE" w:rsidRPr="009D48FE" w:rsidRDefault="009D48FE" w:rsidP="009D48FE">
            <w:r w:rsidRPr="009D48FE">
              <w:t xml:space="preserve">A </w:t>
            </w:r>
            <w:proofErr w:type="spellStart"/>
            <w:r w:rsidRPr="009D48FE">
              <w:t>Commentary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on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the</w:t>
            </w:r>
            <w:proofErr w:type="spellEnd"/>
            <w:r w:rsidRPr="009D48FE">
              <w:t xml:space="preserve"> </w:t>
            </w:r>
            <w:proofErr w:type="spellStart"/>
            <w:r w:rsidRPr="009D48FE">
              <w:t>Revelation</w:t>
            </w:r>
            <w:proofErr w:type="spellEnd"/>
            <w:r w:rsidRPr="009D48FE">
              <w:t xml:space="preserve"> of St. John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8382C" w14:textId="77777777" w:rsidR="009D48FE" w:rsidRPr="009D48FE" w:rsidRDefault="009D48FE" w:rsidP="009D48FE">
            <w:r w:rsidRPr="009D48FE">
              <w:t>1966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FD12A" w14:textId="77777777" w:rsidR="009D48FE" w:rsidRPr="009D48FE" w:rsidRDefault="009D48FE" w:rsidP="009D48FE">
            <w:r w:rsidRPr="009D48FE">
              <w:t>Modern teológiai és exegetikai kommentár</w:t>
            </w:r>
          </w:p>
        </w:tc>
      </w:tr>
      <w:tr w:rsidR="009D48FE" w:rsidRPr="009D48FE" w14:paraId="52640B2E" w14:textId="77777777" w:rsidTr="009D48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C53D4" w14:textId="77777777" w:rsidR="009D48FE" w:rsidRPr="009D48FE" w:rsidRDefault="009D48FE" w:rsidP="009D48FE">
            <w:r w:rsidRPr="009D48FE">
              <w:t>Angol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A8B898" w14:textId="77777777" w:rsidR="009D48FE" w:rsidRPr="009D48FE" w:rsidRDefault="009D48FE" w:rsidP="009D48FE">
            <w:r w:rsidRPr="009D48FE">
              <w:t xml:space="preserve">Robert H. </w:t>
            </w:r>
            <w:proofErr w:type="spellStart"/>
            <w:r w:rsidRPr="009D48FE">
              <w:t>Mounce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BE6B20" w14:textId="77777777" w:rsidR="009D48FE" w:rsidRPr="009D48FE" w:rsidRDefault="009D48FE" w:rsidP="009D48FE">
            <w:r w:rsidRPr="009D48FE">
              <w:t xml:space="preserve">The </w:t>
            </w:r>
            <w:proofErr w:type="spellStart"/>
            <w:r w:rsidRPr="009D48FE">
              <w:t>Book</w:t>
            </w:r>
            <w:proofErr w:type="spellEnd"/>
            <w:r w:rsidRPr="009D48FE">
              <w:t xml:space="preserve"> of </w:t>
            </w:r>
            <w:proofErr w:type="spellStart"/>
            <w:r w:rsidRPr="009D48FE">
              <w:t>Revelation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05E2E" w14:textId="77777777" w:rsidR="009D48FE" w:rsidRPr="009D48FE" w:rsidRDefault="009D48FE" w:rsidP="009D48FE">
            <w:r w:rsidRPr="009D48FE">
              <w:t>1997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9BCFD" w14:textId="77777777" w:rsidR="009D48FE" w:rsidRPr="009D48FE" w:rsidRDefault="009D48FE" w:rsidP="009D48FE">
            <w:r w:rsidRPr="009D48FE">
              <w:t>Kezdők számára is érthető magyarázat</w:t>
            </w:r>
          </w:p>
        </w:tc>
      </w:tr>
      <w:tr w:rsidR="009D48FE" w:rsidRPr="009D48FE" w14:paraId="5F32C892" w14:textId="77777777" w:rsidTr="009D48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DB24F" w14:textId="77777777" w:rsidR="009D48FE" w:rsidRPr="009D48FE" w:rsidRDefault="009D48FE" w:rsidP="009D48FE">
            <w:r w:rsidRPr="009D48FE">
              <w:t>Magyar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7E6F4C" w14:textId="77777777" w:rsidR="009D48FE" w:rsidRPr="009D48FE" w:rsidRDefault="009D48FE" w:rsidP="009D48FE">
            <w:r w:rsidRPr="009D48FE">
              <w:t>Szűcs Sándor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06DFB" w14:textId="77777777" w:rsidR="009D48FE" w:rsidRPr="009D48FE" w:rsidRDefault="009D48FE" w:rsidP="009D48FE">
            <w:r w:rsidRPr="009D48FE">
              <w:t>Jelenések könyve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818F0" w14:textId="77777777" w:rsidR="009D48FE" w:rsidRPr="009D48FE" w:rsidRDefault="009D48FE" w:rsidP="009D48FE">
            <w:r w:rsidRPr="009D48FE">
              <w:t>2020-as évek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19876" w14:textId="77777777" w:rsidR="009D48FE" w:rsidRPr="009D48FE" w:rsidRDefault="009D48FE" w:rsidP="009D48FE">
            <w:r w:rsidRPr="009D48FE">
              <w:t>Modern magyar kommentár, exegézis a könyvről</w:t>
            </w:r>
          </w:p>
        </w:tc>
      </w:tr>
      <w:tr w:rsidR="009D48FE" w:rsidRPr="009D48FE" w14:paraId="09E6BA25" w14:textId="77777777" w:rsidTr="009D48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583D9" w14:textId="77777777" w:rsidR="009D48FE" w:rsidRPr="009D48FE" w:rsidRDefault="009D48FE" w:rsidP="009D48FE">
            <w:r w:rsidRPr="009D48FE">
              <w:t>Magyar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FEA82" w14:textId="77777777" w:rsidR="009D48FE" w:rsidRPr="009D48FE" w:rsidRDefault="009D48FE" w:rsidP="009D48FE">
            <w:proofErr w:type="spellStart"/>
            <w:r w:rsidRPr="009D48FE">
              <w:t>Bolyki</w:t>
            </w:r>
            <w:proofErr w:type="spellEnd"/>
            <w:r w:rsidRPr="009D48FE">
              <w:t xml:space="preserve"> János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44C6E" w14:textId="77777777" w:rsidR="009D48FE" w:rsidRPr="009D48FE" w:rsidRDefault="009D48FE" w:rsidP="009D48FE">
            <w:r w:rsidRPr="009D48FE">
              <w:t>A Jelenések könyve magyarázata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4CB36" w14:textId="77777777" w:rsidR="009D48FE" w:rsidRPr="009D48FE" w:rsidRDefault="009D48FE" w:rsidP="009D48FE">
            <w:r w:rsidRPr="009D48FE">
              <w:t>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4B9BF" w14:textId="77777777" w:rsidR="009D48FE" w:rsidRPr="009D48FE" w:rsidRDefault="009D48FE" w:rsidP="009D48FE">
            <w:r w:rsidRPr="009D48FE">
              <w:t>Magyar teológiai értelmezés és magyarázat</w:t>
            </w:r>
          </w:p>
        </w:tc>
      </w:tr>
    </w:tbl>
    <w:p w14:paraId="5C820C3B" w14:textId="77777777" w:rsidR="00F5578C" w:rsidRDefault="00F5578C" w:rsidP="00605C40"/>
    <w:p w14:paraId="3AC211C4" w14:textId="33CC9623" w:rsidR="009D48FE" w:rsidRPr="009D48FE" w:rsidRDefault="009D48FE" w:rsidP="009D48FE">
      <w:pPr>
        <w:jc w:val="center"/>
        <w:rPr>
          <w:b/>
          <w:bCs/>
        </w:rPr>
      </w:pPr>
      <w:r w:rsidRPr="009D48FE">
        <w:rPr>
          <w:b/>
          <w:bCs/>
        </w:rPr>
        <w:lastRenderedPageBreak/>
        <w:t>A Jelenések könyve irodalmi és művészeti hatástörténete</w:t>
      </w:r>
    </w:p>
    <w:p w14:paraId="4230563C" w14:textId="77777777" w:rsidR="009D48FE" w:rsidRPr="009D48FE" w:rsidRDefault="009D48FE" w:rsidP="009D48FE">
      <w:pPr>
        <w:rPr>
          <w:b/>
          <w:bCs/>
        </w:rPr>
      </w:pPr>
      <w:r w:rsidRPr="009D48FE">
        <w:rPr>
          <w:b/>
          <w:bCs/>
        </w:rPr>
        <w:t>Irodalmi hatás</w:t>
      </w:r>
    </w:p>
    <w:p w14:paraId="536900F4" w14:textId="77777777" w:rsidR="009D48FE" w:rsidRPr="009D48FE" w:rsidRDefault="009D48FE" w:rsidP="009D48FE">
      <w:pPr>
        <w:numPr>
          <w:ilvl w:val="0"/>
          <w:numId w:val="10"/>
        </w:numPr>
      </w:pPr>
      <w:r w:rsidRPr="009D48FE">
        <w:t>A Jelenések könyve a zsidó apokaliptikus irodalom hagyományait folytatja, különösen a Dániel könyvével mutat rokonságot, megőrizve az allegorikus és szimbolikus nyelvezetet, valamint a végidőkről szóló látomásokat.</w:t>
      </w:r>
    </w:p>
    <w:p w14:paraId="7E568394" w14:textId="77777777" w:rsidR="009D48FE" w:rsidRPr="009D48FE" w:rsidRDefault="009D48FE" w:rsidP="009D48FE">
      <w:pPr>
        <w:numPr>
          <w:ilvl w:val="0"/>
          <w:numId w:val="10"/>
        </w:numPr>
      </w:pPr>
      <w:r w:rsidRPr="009D48FE">
        <w:t>A mű szövege nagy hatással volt a keresztény irodalomra, különösen a középkori legendák, misztériumjátékok és liturgikus szövegek alakulására.</w:t>
      </w:r>
    </w:p>
    <w:p w14:paraId="5802B708" w14:textId="77777777" w:rsidR="009D48FE" w:rsidRPr="009D48FE" w:rsidRDefault="009D48FE" w:rsidP="009D48FE">
      <w:pPr>
        <w:numPr>
          <w:ilvl w:val="0"/>
          <w:numId w:val="10"/>
        </w:numPr>
      </w:pPr>
      <w:r w:rsidRPr="009D48FE">
        <w:t>A Jelenések könyve stílusa, mint például a hét gyülekezetről írt levelek, a szimbolikus harc képei és a végítélet ábrázolásai, számos későbbi irodalmi alkotása inspiráltak.</w:t>
      </w:r>
    </w:p>
    <w:p w14:paraId="7B3487E4" w14:textId="77777777" w:rsidR="009D48FE" w:rsidRPr="009D48FE" w:rsidRDefault="009D48FE" w:rsidP="009D48FE">
      <w:pPr>
        <w:rPr>
          <w:b/>
          <w:bCs/>
        </w:rPr>
      </w:pPr>
      <w:r w:rsidRPr="009D48FE">
        <w:rPr>
          <w:b/>
          <w:bCs/>
        </w:rPr>
        <w:t>Művészeti hatás</w:t>
      </w:r>
    </w:p>
    <w:p w14:paraId="294E3BCD" w14:textId="77777777" w:rsidR="009D48FE" w:rsidRPr="009D48FE" w:rsidRDefault="009D48FE" w:rsidP="009D48FE">
      <w:pPr>
        <w:numPr>
          <w:ilvl w:val="0"/>
          <w:numId w:val="11"/>
        </w:numPr>
      </w:pPr>
      <w:r w:rsidRPr="009D48FE">
        <w:t>A művészetben a Jelenések könyvének ikonográfiája számos festményen, szobron és díszítésen megjelenik, különösen a középkor és a reneszánsz idején.</w:t>
      </w:r>
    </w:p>
    <w:p w14:paraId="3958F89F" w14:textId="77777777" w:rsidR="009D48FE" w:rsidRPr="009D48FE" w:rsidRDefault="009D48FE" w:rsidP="009D48FE">
      <w:pPr>
        <w:numPr>
          <w:ilvl w:val="0"/>
          <w:numId w:val="11"/>
        </w:numPr>
      </w:pPr>
      <w:r w:rsidRPr="009D48FE">
        <w:t>Jelentős műalkotások születtek, amelyek az apokaliptikus eseményeket, a bárányt, a hét pecsétet és a végső ítélet jeleneteit ábrázolják.</w:t>
      </w:r>
    </w:p>
    <w:p w14:paraId="2546BABD" w14:textId="77777777" w:rsidR="009D48FE" w:rsidRPr="009D48FE" w:rsidRDefault="009D48FE" w:rsidP="009D48FE">
      <w:pPr>
        <w:numPr>
          <w:ilvl w:val="0"/>
          <w:numId w:val="11"/>
        </w:numPr>
      </w:pPr>
      <w:r w:rsidRPr="009D48FE">
        <w:t>A könyv népszerűsége abban is nyilvánul meg, hogy irodalmi művek mellett filmek, zeneművek (pl. oratóriumok, kórusművek), valamint kortárs képzőművészeti alkotások témája is lett.</w:t>
      </w:r>
    </w:p>
    <w:p w14:paraId="56F19980" w14:textId="77777777" w:rsidR="009D48FE" w:rsidRPr="00CE1210" w:rsidRDefault="009D48FE" w:rsidP="00605C40"/>
    <w:sectPr w:rsidR="009D48FE" w:rsidRPr="00CE1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960"/>
    <w:multiLevelType w:val="multilevel"/>
    <w:tmpl w:val="2074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733A6"/>
    <w:multiLevelType w:val="multilevel"/>
    <w:tmpl w:val="2D12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353E8B"/>
    <w:multiLevelType w:val="multilevel"/>
    <w:tmpl w:val="175A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CE66B8"/>
    <w:multiLevelType w:val="multilevel"/>
    <w:tmpl w:val="BC1E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530CE9"/>
    <w:multiLevelType w:val="multilevel"/>
    <w:tmpl w:val="E03A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476DF8"/>
    <w:multiLevelType w:val="multilevel"/>
    <w:tmpl w:val="4774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D198E"/>
    <w:multiLevelType w:val="multilevel"/>
    <w:tmpl w:val="0202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333F37"/>
    <w:multiLevelType w:val="multilevel"/>
    <w:tmpl w:val="C28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053DA4"/>
    <w:multiLevelType w:val="multilevel"/>
    <w:tmpl w:val="D79A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7160BC"/>
    <w:multiLevelType w:val="multilevel"/>
    <w:tmpl w:val="B692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ED6013"/>
    <w:multiLevelType w:val="multilevel"/>
    <w:tmpl w:val="1412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9816958">
    <w:abstractNumId w:val="8"/>
  </w:num>
  <w:num w:numId="2" w16cid:durableId="112483082">
    <w:abstractNumId w:val="1"/>
  </w:num>
  <w:num w:numId="3" w16cid:durableId="108359133">
    <w:abstractNumId w:val="6"/>
  </w:num>
  <w:num w:numId="4" w16cid:durableId="1801072064">
    <w:abstractNumId w:val="0"/>
  </w:num>
  <w:num w:numId="5" w16cid:durableId="1930194635">
    <w:abstractNumId w:val="3"/>
  </w:num>
  <w:num w:numId="6" w16cid:durableId="795179922">
    <w:abstractNumId w:val="7"/>
  </w:num>
  <w:num w:numId="7" w16cid:durableId="411270275">
    <w:abstractNumId w:val="9"/>
  </w:num>
  <w:num w:numId="8" w16cid:durableId="1008100859">
    <w:abstractNumId w:val="10"/>
  </w:num>
  <w:num w:numId="9" w16cid:durableId="815876205">
    <w:abstractNumId w:val="2"/>
  </w:num>
  <w:num w:numId="10" w16cid:durableId="178080997">
    <w:abstractNumId w:val="5"/>
  </w:num>
  <w:num w:numId="11" w16cid:durableId="1913807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40"/>
    <w:rsid w:val="00277608"/>
    <w:rsid w:val="00355CEB"/>
    <w:rsid w:val="00605C40"/>
    <w:rsid w:val="006D409D"/>
    <w:rsid w:val="009D48FE"/>
    <w:rsid w:val="00A26A35"/>
    <w:rsid w:val="00B35721"/>
    <w:rsid w:val="00BB3923"/>
    <w:rsid w:val="00CE1210"/>
    <w:rsid w:val="00D16D13"/>
    <w:rsid w:val="00F5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EB1E"/>
  <w15:chartTrackingRefBased/>
  <w15:docId w15:val="{ED511E59-1C27-41D8-A329-9EE6A17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05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5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5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5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5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5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5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5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5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5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5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5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5C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5C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5C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5C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5C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5C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5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5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5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5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5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5C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5C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5C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5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5C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5C4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05C4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5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2129</Words>
  <Characters>14691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Macska24</dc:creator>
  <cp:keywords/>
  <dc:description/>
  <cp:lastModifiedBy>Macska24</cp:lastModifiedBy>
  <cp:revision>3</cp:revision>
  <dcterms:created xsi:type="dcterms:W3CDTF">2025-10-11T19:18:00Z</dcterms:created>
  <dcterms:modified xsi:type="dcterms:W3CDTF">2025-11-29T00:30:00Z</dcterms:modified>
</cp:coreProperties>
</file>